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rPr>
        <w:t>附件1</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2023年度揭阳市政府网站与政务新媒体考评对象</w:t>
      </w:r>
    </w:p>
    <w:p>
      <w:pPr>
        <w:snapToGrid w:val="0"/>
        <w:spacing w:line="300" w:lineRule="exact"/>
        <w:jc w:val="center"/>
        <w:rPr>
          <w:rFonts w:hint="eastAsia" w:ascii="方正小标宋简体" w:hAnsi="方正小标宋简体" w:eastAsia="方正小标宋简体" w:cs="方正小标宋简体"/>
          <w:sz w:val="44"/>
          <w:szCs w:val="44"/>
        </w:rPr>
      </w:pPr>
    </w:p>
    <w:p>
      <w:pPr>
        <w:widowControl/>
        <w:rPr>
          <w:rFonts w:hint="eastAsia" w:ascii="黑体" w:hAnsi="黑体" w:eastAsia="黑体" w:cs="黑体"/>
          <w:bCs/>
          <w:kern w:val="0"/>
          <w:sz w:val="32"/>
          <w:szCs w:val="32"/>
        </w:rPr>
      </w:pPr>
      <w:r>
        <w:rPr>
          <w:rFonts w:hint="eastAsia" w:ascii="黑体" w:hAnsi="黑体" w:eastAsia="黑体" w:cs="黑体"/>
          <w:bCs/>
          <w:kern w:val="0"/>
          <w:sz w:val="32"/>
          <w:szCs w:val="32"/>
        </w:rPr>
        <w:t>一、各县（市、区）人民政府</w:t>
      </w:r>
    </w:p>
    <w:tbl>
      <w:tblPr>
        <w:tblStyle w:val="6"/>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548"/>
        <w:gridCol w:w="4483"/>
        <w:gridCol w:w="424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blHeader/>
          <w:jc w:val="center"/>
        </w:trPr>
        <w:tc>
          <w:tcPr>
            <w:tcW w:w="322" w:type="pct"/>
            <w:vMerge w:val="restart"/>
            <w:shd w:val="pct10" w:color="auto" w:fill="auto"/>
            <w:noWrap w:val="0"/>
            <w:vAlign w:val="center"/>
          </w:tcPr>
          <w:p>
            <w:pPr>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序号</w:t>
            </w:r>
          </w:p>
        </w:tc>
        <w:tc>
          <w:tcPr>
            <w:tcW w:w="906" w:type="pct"/>
            <w:vMerge w:val="restar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单位名称</w:t>
            </w:r>
          </w:p>
        </w:tc>
        <w:tc>
          <w:tcPr>
            <w:tcW w:w="1594"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政府网站（频道）</w:t>
            </w:r>
          </w:p>
        </w:tc>
        <w:tc>
          <w:tcPr>
            <w:tcW w:w="2177" w:type="pct"/>
            <w:gridSpan w:val="2"/>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政务新媒体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blHeader/>
          <w:jc w:val="center"/>
        </w:trPr>
        <w:tc>
          <w:tcPr>
            <w:tcW w:w="322" w:type="pct"/>
            <w:vMerge w:val="continue"/>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p>
        </w:tc>
        <w:tc>
          <w:tcPr>
            <w:tcW w:w="906" w:type="pct"/>
            <w:vMerge w:val="continue"/>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p>
        </w:tc>
        <w:tc>
          <w:tcPr>
            <w:tcW w:w="1594"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网址</w:t>
            </w:r>
          </w:p>
        </w:tc>
        <w:tc>
          <w:tcPr>
            <w:tcW w:w="1509"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账号名称</w:t>
            </w:r>
          </w:p>
        </w:tc>
        <w:tc>
          <w:tcPr>
            <w:tcW w:w="668"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账号类型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322"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06"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榕城区人民政府</w:t>
            </w:r>
          </w:p>
        </w:tc>
        <w:tc>
          <w:tcPr>
            <w:tcW w:w="159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http://www.jyrongcheng.gov.cn</w:t>
            </w: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平安榕城</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322" w:type="pct"/>
            <w:vMerge w:val="continue"/>
            <w:noWrap w:val="0"/>
            <w:vAlign w:val="center"/>
          </w:tcPr>
          <w:p>
            <w:pPr>
              <w:snapToGrid w:val="0"/>
              <w:jc w:val="center"/>
              <w:rPr>
                <w:rFonts w:hint="eastAsia" w:ascii="仿宋_GB2312" w:hAnsi="仿宋_GB2312" w:eastAsia="仿宋_GB2312" w:cs="仿宋_GB2312"/>
                <w:sz w:val="32"/>
                <w:szCs w:val="32"/>
              </w:rPr>
            </w:pPr>
          </w:p>
        </w:tc>
        <w:tc>
          <w:tcPr>
            <w:tcW w:w="906" w:type="pct"/>
            <w:vMerge w:val="continue"/>
            <w:noWrap w:val="0"/>
            <w:vAlign w:val="center"/>
          </w:tcPr>
          <w:p>
            <w:pPr>
              <w:snapToGrid w:val="0"/>
              <w:jc w:val="center"/>
              <w:rPr>
                <w:rFonts w:hint="eastAsia" w:ascii="仿宋_GB2312" w:hAnsi="仿宋_GB2312" w:eastAsia="仿宋_GB2312" w:cs="仿宋_GB2312"/>
                <w:sz w:val="32"/>
                <w:szCs w:val="32"/>
              </w:rPr>
            </w:pPr>
          </w:p>
        </w:tc>
        <w:tc>
          <w:tcPr>
            <w:tcW w:w="1594" w:type="pct"/>
            <w:vMerge w:val="continue"/>
            <w:noWrap w:val="0"/>
            <w:vAlign w:val="center"/>
          </w:tcPr>
          <w:p>
            <w:pPr>
              <w:snapToGrid w:val="0"/>
              <w:jc w:val="center"/>
              <w:rPr>
                <w:rFonts w:hint="eastAsia" w:ascii="仿宋_GB2312" w:hAnsi="仿宋_GB2312" w:eastAsia="仿宋_GB2312" w:cs="仿宋_GB2312"/>
                <w:sz w:val="32"/>
                <w:szCs w:val="32"/>
              </w:rPr>
            </w:pP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榕城公安</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jc w:val="center"/>
        </w:trPr>
        <w:tc>
          <w:tcPr>
            <w:tcW w:w="322"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906"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揭东区人民政府</w:t>
            </w:r>
          </w:p>
        </w:tc>
        <w:tc>
          <w:tcPr>
            <w:tcW w:w="159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http://www.jiedong.gov.cn</w:t>
            </w: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揭东区政府网、平安揭东</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322" w:type="pct"/>
            <w:vMerge w:val="continue"/>
            <w:noWrap w:val="0"/>
            <w:vAlign w:val="center"/>
          </w:tcPr>
          <w:p>
            <w:pPr>
              <w:snapToGrid w:val="0"/>
              <w:jc w:val="center"/>
              <w:rPr>
                <w:rFonts w:hint="eastAsia" w:ascii="仿宋_GB2312" w:hAnsi="仿宋_GB2312" w:eastAsia="仿宋_GB2312" w:cs="仿宋_GB2312"/>
                <w:sz w:val="32"/>
                <w:szCs w:val="32"/>
              </w:rPr>
            </w:pPr>
          </w:p>
        </w:tc>
        <w:tc>
          <w:tcPr>
            <w:tcW w:w="906" w:type="pct"/>
            <w:vMerge w:val="continue"/>
            <w:noWrap w:val="0"/>
            <w:vAlign w:val="center"/>
          </w:tcPr>
          <w:p>
            <w:pPr>
              <w:snapToGrid w:val="0"/>
              <w:jc w:val="center"/>
              <w:rPr>
                <w:rFonts w:hint="eastAsia" w:ascii="仿宋_GB2312" w:hAnsi="仿宋_GB2312" w:eastAsia="仿宋_GB2312" w:cs="仿宋_GB2312"/>
                <w:sz w:val="32"/>
                <w:szCs w:val="32"/>
              </w:rPr>
            </w:pPr>
          </w:p>
        </w:tc>
        <w:tc>
          <w:tcPr>
            <w:tcW w:w="1594" w:type="pct"/>
            <w:vMerge w:val="continue"/>
            <w:noWrap w:val="0"/>
            <w:vAlign w:val="center"/>
          </w:tcPr>
          <w:p>
            <w:pPr>
              <w:snapToGrid w:val="0"/>
              <w:jc w:val="center"/>
              <w:rPr>
                <w:rFonts w:hint="eastAsia" w:ascii="仿宋_GB2312" w:hAnsi="仿宋_GB2312" w:eastAsia="仿宋_GB2312" w:cs="仿宋_GB2312"/>
                <w:sz w:val="32"/>
                <w:szCs w:val="32"/>
              </w:rPr>
            </w:pP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揭东公安</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322"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906"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普宁市人民政府</w:t>
            </w:r>
          </w:p>
        </w:tc>
        <w:tc>
          <w:tcPr>
            <w:tcW w:w="159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http://www.puning.gov.cn</w:t>
            </w:r>
          </w:p>
        </w:tc>
        <w:tc>
          <w:tcPr>
            <w:tcW w:w="1509" w:type="pct"/>
            <w:noWrap w:val="0"/>
            <w:vAlign w:val="center"/>
          </w:tcPr>
          <w:p>
            <w:pPr>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普宁教育、普宁公共服务、普宁司法、普宁民政、普宁应急管理、普宁市生态环境、普宁市退役军人事务局、普宁交警、普宁警讯、健康普宁、普宁人社</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322" w:type="pct"/>
            <w:vMerge w:val="continue"/>
            <w:noWrap w:val="0"/>
            <w:vAlign w:val="center"/>
          </w:tcPr>
          <w:p>
            <w:pPr>
              <w:snapToGrid w:val="0"/>
              <w:jc w:val="center"/>
              <w:rPr>
                <w:rFonts w:hint="eastAsia" w:ascii="仿宋_GB2312" w:hAnsi="仿宋_GB2312" w:eastAsia="仿宋_GB2312" w:cs="仿宋_GB2312"/>
                <w:sz w:val="32"/>
                <w:szCs w:val="32"/>
              </w:rPr>
            </w:pPr>
          </w:p>
        </w:tc>
        <w:tc>
          <w:tcPr>
            <w:tcW w:w="906" w:type="pct"/>
            <w:vMerge w:val="continue"/>
            <w:noWrap w:val="0"/>
            <w:vAlign w:val="center"/>
          </w:tcPr>
          <w:p>
            <w:pPr>
              <w:snapToGrid w:val="0"/>
              <w:jc w:val="center"/>
              <w:rPr>
                <w:rFonts w:hint="eastAsia" w:ascii="仿宋_GB2312" w:hAnsi="仿宋_GB2312" w:eastAsia="仿宋_GB2312" w:cs="仿宋_GB2312"/>
                <w:sz w:val="32"/>
                <w:szCs w:val="32"/>
              </w:rPr>
            </w:pPr>
          </w:p>
        </w:tc>
        <w:tc>
          <w:tcPr>
            <w:tcW w:w="1594" w:type="pct"/>
            <w:vMerge w:val="continue"/>
            <w:noWrap w:val="0"/>
            <w:vAlign w:val="center"/>
          </w:tcPr>
          <w:p>
            <w:pPr>
              <w:snapToGrid w:val="0"/>
              <w:jc w:val="center"/>
              <w:rPr>
                <w:rFonts w:hint="eastAsia" w:ascii="仿宋_GB2312" w:hAnsi="仿宋_GB2312" w:eastAsia="仿宋_GB2312" w:cs="仿宋_GB2312"/>
                <w:sz w:val="32"/>
                <w:szCs w:val="32"/>
              </w:rPr>
            </w:pP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普宁公安</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322" w:type="pct"/>
            <w:vMerge w:val="continue"/>
            <w:noWrap w:val="0"/>
            <w:vAlign w:val="center"/>
          </w:tcPr>
          <w:p>
            <w:pPr>
              <w:snapToGrid w:val="0"/>
              <w:jc w:val="center"/>
              <w:rPr>
                <w:rFonts w:hint="eastAsia" w:ascii="仿宋_GB2312" w:hAnsi="仿宋_GB2312" w:eastAsia="仿宋_GB2312" w:cs="仿宋_GB2312"/>
                <w:sz w:val="32"/>
                <w:szCs w:val="32"/>
              </w:rPr>
            </w:pPr>
          </w:p>
        </w:tc>
        <w:tc>
          <w:tcPr>
            <w:tcW w:w="906" w:type="pct"/>
            <w:vMerge w:val="continue"/>
            <w:noWrap w:val="0"/>
            <w:vAlign w:val="center"/>
          </w:tcPr>
          <w:p>
            <w:pPr>
              <w:snapToGrid w:val="0"/>
              <w:jc w:val="center"/>
              <w:rPr>
                <w:rFonts w:hint="eastAsia" w:ascii="仿宋_GB2312" w:hAnsi="仿宋_GB2312" w:eastAsia="仿宋_GB2312" w:cs="仿宋_GB2312"/>
                <w:sz w:val="32"/>
                <w:szCs w:val="32"/>
              </w:rPr>
            </w:pPr>
          </w:p>
        </w:tc>
        <w:tc>
          <w:tcPr>
            <w:tcW w:w="1594" w:type="pct"/>
            <w:vMerge w:val="continue"/>
            <w:noWrap w:val="0"/>
            <w:vAlign w:val="center"/>
          </w:tcPr>
          <w:p>
            <w:pPr>
              <w:snapToGrid w:val="0"/>
              <w:jc w:val="center"/>
              <w:rPr>
                <w:rFonts w:hint="eastAsia" w:ascii="仿宋_GB2312" w:hAnsi="仿宋_GB2312" w:eastAsia="仿宋_GB2312" w:cs="仿宋_GB2312"/>
                <w:sz w:val="32"/>
                <w:szCs w:val="32"/>
              </w:rPr>
            </w:pP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普宁公安</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抖音短视频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322" w:type="pct"/>
            <w:vMerge w:val="continue"/>
            <w:noWrap w:val="0"/>
            <w:vAlign w:val="center"/>
          </w:tcPr>
          <w:p>
            <w:pPr>
              <w:snapToGrid w:val="0"/>
              <w:jc w:val="center"/>
              <w:rPr>
                <w:rFonts w:hint="eastAsia" w:ascii="仿宋_GB2312" w:hAnsi="仿宋_GB2312" w:eastAsia="仿宋_GB2312" w:cs="仿宋_GB2312"/>
                <w:sz w:val="32"/>
                <w:szCs w:val="32"/>
              </w:rPr>
            </w:pPr>
          </w:p>
        </w:tc>
        <w:tc>
          <w:tcPr>
            <w:tcW w:w="906" w:type="pct"/>
            <w:vMerge w:val="continue"/>
            <w:noWrap w:val="0"/>
            <w:vAlign w:val="center"/>
          </w:tcPr>
          <w:p>
            <w:pPr>
              <w:snapToGrid w:val="0"/>
              <w:jc w:val="center"/>
              <w:rPr>
                <w:rFonts w:hint="eastAsia" w:ascii="仿宋_GB2312" w:hAnsi="仿宋_GB2312" w:eastAsia="仿宋_GB2312" w:cs="仿宋_GB2312"/>
                <w:sz w:val="32"/>
                <w:szCs w:val="32"/>
              </w:rPr>
            </w:pPr>
          </w:p>
        </w:tc>
        <w:tc>
          <w:tcPr>
            <w:tcW w:w="1594" w:type="pct"/>
            <w:vMerge w:val="continue"/>
            <w:noWrap w:val="0"/>
            <w:vAlign w:val="center"/>
          </w:tcPr>
          <w:p>
            <w:pPr>
              <w:snapToGrid w:val="0"/>
              <w:jc w:val="center"/>
              <w:rPr>
                <w:rFonts w:hint="eastAsia" w:ascii="仿宋_GB2312" w:hAnsi="仿宋_GB2312" w:eastAsia="仿宋_GB2312" w:cs="仿宋_GB2312"/>
                <w:sz w:val="32"/>
                <w:szCs w:val="32"/>
              </w:rPr>
            </w:pP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普宁公安</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快手短视频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322"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906"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揭西县人民政府</w:t>
            </w:r>
          </w:p>
        </w:tc>
        <w:tc>
          <w:tcPr>
            <w:tcW w:w="159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http://www.jiexi.gov.cn</w:t>
            </w: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平安揭西、揭西交警、棉湖资讯</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322" w:type="pct"/>
            <w:vMerge w:val="continue"/>
            <w:noWrap w:val="0"/>
            <w:vAlign w:val="center"/>
          </w:tcPr>
          <w:p>
            <w:pPr>
              <w:snapToGrid w:val="0"/>
              <w:jc w:val="center"/>
              <w:rPr>
                <w:rFonts w:hint="eastAsia" w:ascii="仿宋_GB2312" w:hAnsi="仿宋_GB2312" w:eastAsia="仿宋_GB2312" w:cs="仿宋_GB2312"/>
                <w:sz w:val="32"/>
                <w:szCs w:val="32"/>
              </w:rPr>
            </w:pPr>
          </w:p>
        </w:tc>
        <w:tc>
          <w:tcPr>
            <w:tcW w:w="906" w:type="pct"/>
            <w:vMerge w:val="continue"/>
            <w:noWrap w:val="0"/>
            <w:vAlign w:val="center"/>
          </w:tcPr>
          <w:p>
            <w:pPr>
              <w:snapToGrid w:val="0"/>
              <w:jc w:val="center"/>
              <w:rPr>
                <w:rFonts w:hint="eastAsia" w:ascii="仿宋_GB2312" w:hAnsi="仿宋_GB2312" w:eastAsia="仿宋_GB2312" w:cs="仿宋_GB2312"/>
                <w:sz w:val="32"/>
                <w:szCs w:val="32"/>
              </w:rPr>
            </w:pPr>
          </w:p>
        </w:tc>
        <w:tc>
          <w:tcPr>
            <w:tcW w:w="1594" w:type="pct"/>
            <w:vMerge w:val="continue"/>
            <w:noWrap w:val="0"/>
            <w:vAlign w:val="center"/>
          </w:tcPr>
          <w:p>
            <w:pPr>
              <w:snapToGrid w:val="0"/>
              <w:jc w:val="center"/>
              <w:rPr>
                <w:rFonts w:hint="eastAsia" w:ascii="仿宋_GB2312" w:hAnsi="仿宋_GB2312" w:eastAsia="仿宋_GB2312" w:cs="仿宋_GB2312"/>
                <w:sz w:val="32"/>
                <w:szCs w:val="32"/>
              </w:rPr>
            </w:pP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揭西公安</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322"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906"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惠来县人民政府</w:t>
            </w:r>
          </w:p>
        </w:tc>
        <w:tc>
          <w:tcPr>
            <w:tcW w:w="159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http://www.huilai.gov.cn</w:t>
            </w:r>
          </w:p>
        </w:tc>
        <w:tc>
          <w:tcPr>
            <w:tcW w:w="1509" w:type="pct"/>
            <w:noWrap w:val="0"/>
            <w:vAlign w:val="center"/>
          </w:tcPr>
          <w:p>
            <w:pPr>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惠来县人民政府网、惠来交警、惠来警讯、惠来司法、惠来人社、惠来卫生健康、惠来县教育局</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322" w:type="pct"/>
            <w:vMerge w:val="continue"/>
            <w:noWrap w:val="0"/>
            <w:vAlign w:val="center"/>
          </w:tcPr>
          <w:p>
            <w:pPr>
              <w:snapToGrid w:val="0"/>
              <w:jc w:val="center"/>
              <w:rPr>
                <w:rFonts w:hint="eastAsia" w:ascii="仿宋_GB2312" w:hAnsi="仿宋_GB2312" w:eastAsia="仿宋_GB2312" w:cs="仿宋_GB2312"/>
                <w:sz w:val="32"/>
                <w:szCs w:val="32"/>
              </w:rPr>
            </w:pPr>
          </w:p>
        </w:tc>
        <w:tc>
          <w:tcPr>
            <w:tcW w:w="906" w:type="pct"/>
            <w:vMerge w:val="continue"/>
            <w:noWrap w:val="0"/>
            <w:vAlign w:val="center"/>
          </w:tcPr>
          <w:p>
            <w:pPr>
              <w:snapToGrid w:val="0"/>
              <w:jc w:val="center"/>
              <w:rPr>
                <w:rFonts w:hint="eastAsia" w:ascii="仿宋_GB2312" w:hAnsi="仿宋_GB2312" w:eastAsia="仿宋_GB2312" w:cs="仿宋_GB2312"/>
                <w:sz w:val="32"/>
                <w:szCs w:val="32"/>
              </w:rPr>
            </w:pPr>
          </w:p>
        </w:tc>
        <w:tc>
          <w:tcPr>
            <w:tcW w:w="1594" w:type="pct"/>
            <w:vMerge w:val="continue"/>
            <w:noWrap w:val="0"/>
            <w:vAlign w:val="center"/>
          </w:tcPr>
          <w:p>
            <w:pPr>
              <w:snapToGrid w:val="0"/>
              <w:jc w:val="center"/>
              <w:rPr>
                <w:rFonts w:hint="eastAsia" w:ascii="仿宋_GB2312" w:hAnsi="仿宋_GB2312" w:eastAsia="仿宋_GB2312" w:cs="仿宋_GB2312"/>
                <w:sz w:val="32"/>
                <w:szCs w:val="32"/>
              </w:rPr>
            </w:pP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惠来公安</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322" w:type="pct"/>
            <w:vMerge w:val="continue"/>
            <w:noWrap w:val="0"/>
            <w:vAlign w:val="center"/>
          </w:tcPr>
          <w:p>
            <w:pPr>
              <w:snapToGrid w:val="0"/>
              <w:jc w:val="center"/>
              <w:rPr>
                <w:rFonts w:hint="eastAsia" w:ascii="仿宋_GB2312" w:hAnsi="仿宋_GB2312" w:eastAsia="仿宋_GB2312" w:cs="仿宋_GB2312"/>
                <w:sz w:val="32"/>
                <w:szCs w:val="32"/>
              </w:rPr>
            </w:pPr>
          </w:p>
        </w:tc>
        <w:tc>
          <w:tcPr>
            <w:tcW w:w="906" w:type="pct"/>
            <w:vMerge w:val="continue"/>
            <w:noWrap w:val="0"/>
            <w:vAlign w:val="center"/>
          </w:tcPr>
          <w:p>
            <w:pPr>
              <w:snapToGrid w:val="0"/>
              <w:jc w:val="center"/>
              <w:rPr>
                <w:rFonts w:hint="eastAsia" w:ascii="仿宋_GB2312" w:hAnsi="仿宋_GB2312" w:eastAsia="仿宋_GB2312" w:cs="仿宋_GB2312"/>
                <w:sz w:val="32"/>
                <w:szCs w:val="32"/>
              </w:rPr>
            </w:pPr>
          </w:p>
        </w:tc>
        <w:tc>
          <w:tcPr>
            <w:tcW w:w="1594" w:type="pct"/>
            <w:vMerge w:val="continue"/>
            <w:noWrap w:val="0"/>
            <w:vAlign w:val="center"/>
          </w:tcPr>
          <w:p>
            <w:pPr>
              <w:snapToGrid w:val="0"/>
              <w:jc w:val="center"/>
              <w:rPr>
                <w:rFonts w:hint="eastAsia" w:ascii="仿宋_GB2312" w:hAnsi="仿宋_GB2312" w:eastAsia="仿宋_GB2312" w:cs="仿宋_GB2312"/>
                <w:sz w:val="32"/>
                <w:szCs w:val="32"/>
              </w:rPr>
            </w:pPr>
          </w:p>
        </w:tc>
        <w:tc>
          <w:tcPr>
            <w:tcW w:w="150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惠来刑警、惠来公安</w:t>
            </w:r>
          </w:p>
        </w:tc>
        <w:tc>
          <w:tcPr>
            <w:tcW w:w="668"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抖音短视频</w:t>
            </w:r>
          </w:p>
        </w:tc>
      </w:tr>
    </w:tbl>
    <w:p>
      <w:pPr>
        <w:widowControl/>
        <w:rPr>
          <w:rFonts w:hint="eastAsia" w:ascii="黑体" w:hAnsi="黑体" w:eastAsia="黑体" w:cs="黑体"/>
          <w:kern w:val="0"/>
          <w:sz w:val="32"/>
          <w:szCs w:val="32"/>
        </w:rPr>
      </w:pPr>
      <w:r>
        <w:rPr>
          <w:rFonts w:hint="eastAsia" w:ascii="仿宋_GB2312" w:hAnsi="仿宋_GB2312" w:eastAsia="仿宋_GB2312" w:cs="仿宋_GB2312"/>
          <w:kern w:val="0"/>
          <w:sz w:val="32"/>
          <w:szCs w:val="32"/>
        </w:rPr>
        <w:br w:type="page"/>
      </w:r>
      <w:r>
        <w:rPr>
          <w:rFonts w:hint="eastAsia" w:ascii="黑体" w:hAnsi="黑体" w:eastAsia="黑体" w:cs="黑体"/>
          <w:kern w:val="0"/>
          <w:sz w:val="32"/>
          <w:szCs w:val="32"/>
        </w:rPr>
        <w:t>二、承担对外服务职能的市有关单位</w:t>
      </w:r>
    </w:p>
    <w:tbl>
      <w:tblPr>
        <w:tblStyle w:val="6"/>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81"/>
        <w:gridCol w:w="4410"/>
        <w:gridCol w:w="421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blHeader/>
          <w:jc w:val="center"/>
        </w:trPr>
        <w:tc>
          <w:tcPr>
            <w:tcW w:w="319" w:type="pct"/>
            <w:vMerge w:val="restart"/>
            <w:shd w:val="pct10" w:color="auto" w:fill="auto"/>
            <w:noWrap w:val="0"/>
            <w:vAlign w:val="center"/>
          </w:tcPr>
          <w:p>
            <w:pPr>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序号</w:t>
            </w:r>
          </w:p>
        </w:tc>
        <w:tc>
          <w:tcPr>
            <w:tcW w:w="880" w:type="pct"/>
            <w:vMerge w:val="restar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单位名称</w:t>
            </w:r>
          </w:p>
        </w:tc>
        <w:tc>
          <w:tcPr>
            <w:tcW w:w="1564"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政府网站（频道）</w:t>
            </w:r>
          </w:p>
        </w:tc>
        <w:tc>
          <w:tcPr>
            <w:tcW w:w="2236" w:type="pct"/>
            <w:gridSpan w:val="2"/>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政务新媒体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blHeader/>
          <w:jc w:val="center"/>
        </w:trPr>
        <w:tc>
          <w:tcPr>
            <w:tcW w:w="319" w:type="pct"/>
            <w:vMerge w:val="continue"/>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p>
        </w:tc>
        <w:tc>
          <w:tcPr>
            <w:tcW w:w="880" w:type="pct"/>
            <w:vMerge w:val="continue"/>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p>
        </w:tc>
        <w:tc>
          <w:tcPr>
            <w:tcW w:w="1564"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网址</w:t>
            </w:r>
          </w:p>
        </w:tc>
        <w:tc>
          <w:tcPr>
            <w:tcW w:w="1495"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账号名称</w:t>
            </w:r>
          </w:p>
        </w:tc>
        <w:tc>
          <w:tcPr>
            <w:tcW w:w="741"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账号类型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exac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揭阳产业园</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管委会</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http://www.jycyy.gov.cn</w:t>
            </w:r>
          </w:p>
        </w:tc>
        <w:tc>
          <w:tcPr>
            <w:tcW w:w="1495" w:type="pct"/>
            <w:noWrap w:val="0"/>
            <w:vAlign w:val="center"/>
          </w:tcPr>
          <w:p>
            <w:pPr>
              <w:snapToGrid w:val="0"/>
              <w:jc w:val="center"/>
              <w:rPr>
                <w:rFonts w:hint="eastAsia" w:ascii="仿宋_GB2312" w:hAnsi="仿宋_GB2312" w:eastAsia="仿宋_GB2312" w:cs="仿宋_GB2312"/>
                <w:sz w:val="32"/>
                <w:szCs w:val="32"/>
              </w:rPr>
            </w:pPr>
          </w:p>
        </w:tc>
        <w:tc>
          <w:tcPr>
            <w:tcW w:w="741" w:type="pct"/>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jc w:val="center"/>
        </w:trPr>
        <w:tc>
          <w:tcPr>
            <w:tcW w:w="319"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80"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大南海石化工业区管委会</w:t>
            </w:r>
          </w:p>
        </w:tc>
        <w:tc>
          <w:tcPr>
            <w:tcW w:w="156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http://www.jieyang.gov.cn/szfjg/jysdnhshgyq</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揭阳大南海</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揭阳大南海</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319"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880"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"http://www.jieyang.gov.cn/ydxc"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粤东新城管委会</w:t>
            </w:r>
            <w:r>
              <w:rPr>
                <w:rFonts w:hint="eastAsia" w:ascii="仿宋_GB2312" w:hAnsi="仿宋_GB2312" w:eastAsia="仿宋_GB2312" w:cs="仿宋_GB2312"/>
                <w:sz w:val="32"/>
                <w:szCs w:val="32"/>
              </w:rPr>
              <w:fldChar w:fldCharType="end"/>
            </w:r>
          </w:p>
        </w:tc>
        <w:tc>
          <w:tcPr>
            <w:tcW w:w="156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http://www.jieyang.gov.cn/ydxc</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揭阳市粤东新城管理委员会</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揭阳市粤东新城管委会</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抖音短视频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市发展和改革局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http://www.jieyang.gov.cn/jyfg</w:t>
            </w:r>
          </w:p>
        </w:tc>
        <w:tc>
          <w:tcPr>
            <w:tcW w:w="1495" w:type="pct"/>
            <w:noWrap w:val="0"/>
            <w:vAlign w:val="center"/>
          </w:tcPr>
          <w:p>
            <w:pPr>
              <w:snapToGrid w:val="0"/>
              <w:jc w:val="center"/>
              <w:rPr>
                <w:rFonts w:hint="eastAsia" w:ascii="仿宋_GB2312" w:hAnsi="仿宋_GB2312" w:eastAsia="仿宋_GB2312" w:cs="仿宋_GB2312"/>
                <w:sz w:val="32"/>
                <w:szCs w:val="32"/>
              </w:rPr>
            </w:pPr>
          </w:p>
        </w:tc>
        <w:tc>
          <w:tcPr>
            <w:tcW w:w="741" w:type="pct"/>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市教育局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http://www.jieyang.gov.cn/jyj</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揭阳教育</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市科学技术局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http://www.jieyang.gov.cn/kjj</w:t>
            </w:r>
          </w:p>
        </w:tc>
        <w:tc>
          <w:tcPr>
            <w:tcW w:w="1495" w:type="pct"/>
            <w:noWrap w:val="0"/>
            <w:vAlign w:val="center"/>
          </w:tcPr>
          <w:p>
            <w:pPr>
              <w:snapToGrid w:val="0"/>
              <w:jc w:val="center"/>
              <w:rPr>
                <w:rFonts w:hint="eastAsia" w:ascii="仿宋_GB2312" w:hAnsi="仿宋_GB2312" w:eastAsia="仿宋_GB2312" w:cs="仿宋_GB2312"/>
                <w:sz w:val="32"/>
                <w:szCs w:val="32"/>
              </w:rPr>
            </w:pPr>
          </w:p>
        </w:tc>
        <w:tc>
          <w:tcPr>
            <w:tcW w:w="741" w:type="pct"/>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市工业和</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信息化局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http://www.jieyang.gov.cn/jyjxj</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揭阳工信</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319"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880"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市公安局</w:t>
            </w:r>
          </w:p>
        </w:tc>
        <w:tc>
          <w:tcPr>
            <w:tcW w:w="156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http://www.jieyang.gov.cn/jyga</w:t>
            </w:r>
          </w:p>
        </w:tc>
        <w:tc>
          <w:tcPr>
            <w:tcW w:w="1495" w:type="pct"/>
            <w:noWrap w:val="0"/>
            <w:vAlign w:val="center"/>
          </w:tcPr>
          <w:p>
            <w:pPr>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平安揭阳、揭阳交警、揭阳禁毒、揭阳网警巡查执法、揭阳车管所</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揭阳公安</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揭阳反诈</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微信服务号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平安揭阳、揭阳交警支队、揭阳网警</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新浪微博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揭阳市公安局</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揭阳市公安局、揭阳交警、揭阳网警巡查执法、揭阳禁毒</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今日头条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平安揭阳</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揭阳交警、平安揭阳</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抖音短视频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平安揭阳</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快手短视频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平安揭阳、揭阳禁毒</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其他+视频号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319"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880"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市民政局</w:t>
            </w:r>
          </w:p>
        </w:tc>
        <w:tc>
          <w:tcPr>
            <w:tcW w:w="156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http://www.jieyang.gov.cn/mzj</w:t>
            </w:r>
          </w:p>
        </w:tc>
        <w:tc>
          <w:tcPr>
            <w:tcW w:w="14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揭阳民政</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snapToGrid w:val="0"/>
              <w:jc w:val="center"/>
              <w:rPr>
                <w:rFonts w:hint="eastAsia" w:ascii="仿宋_GB2312" w:hAnsi="仿宋_GB2312" w:eastAsia="仿宋_GB2312" w:cs="仿宋_GB2312"/>
                <w:sz w:val="32"/>
                <w:szCs w:val="32"/>
              </w:rPr>
            </w:pP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揭阳民政</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新浪微博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http://www.jieyang.gov.cn/jysf</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揭阳司法</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http://www.jieyang.gov.cn/jycz</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揭阳财政</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市人力资源和</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http://www.jieyang.gov.cn/rsj</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揭阳人社</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市自然资源局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http://www.jieyang.gov.cn/jyzrzy</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揭阳自然资源</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319"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880"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市生态环境局</w:t>
            </w:r>
          </w:p>
        </w:tc>
        <w:tc>
          <w:tcPr>
            <w:tcW w:w="156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http://www.jieyang.gov.cn/jyhbj</w:t>
            </w:r>
          </w:p>
        </w:tc>
        <w:tc>
          <w:tcPr>
            <w:tcW w:w="14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揭阳生态环境</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adjustRightInd w:val="0"/>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adjustRightInd w:val="0"/>
              <w:snapToGrid w:val="0"/>
              <w:rPr>
                <w:rFonts w:hint="eastAsia" w:ascii="仿宋_GB2312" w:hAnsi="仿宋_GB2312" w:eastAsia="仿宋_GB2312" w:cs="仿宋_GB2312"/>
                <w:sz w:val="32"/>
                <w:szCs w:val="32"/>
              </w:rPr>
            </w:pP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揭阳生态环境</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新浪微博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市住房和城乡</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http://www.jieyang.gov.cn/zjj</w:t>
            </w:r>
          </w:p>
        </w:tc>
        <w:tc>
          <w:tcPr>
            <w:tcW w:w="1495" w:type="pct"/>
            <w:noWrap w:val="0"/>
            <w:vAlign w:val="center"/>
          </w:tcPr>
          <w:p>
            <w:pPr>
              <w:snapToGrid w:val="0"/>
              <w:jc w:val="center"/>
              <w:rPr>
                <w:rFonts w:hint="eastAsia" w:ascii="仿宋_GB2312" w:hAnsi="仿宋_GB2312" w:eastAsia="仿宋_GB2312" w:cs="仿宋_GB2312"/>
                <w:sz w:val="32"/>
                <w:szCs w:val="32"/>
              </w:rPr>
            </w:pPr>
          </w:p>
        </w:tc>
        <w:tc>
          <w:tcPr>
            <w:tcW w:w="741" w:type="pct"/>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http://www.jieyang.gov.cn/jtys</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揭阳交通发布</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市水利局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http://www.jieyang.gov.cn/slj</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揭阳水利</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http://www.jieyang.gov.cn/nyj</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揭阳市农业农村局</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市商务局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http://www.jieyang.gov.cn/swj</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揭阳商务</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319"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880"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市文化广电旅游体育局</w:t>
            </w:r>
          </w:p>
        </w:tc>
        <w:tc>
          <w:tcPr>
            <w:tcW w:w="156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http://www.jieyang.gov.cn/wglt</w:t>
            </w:r>
          </w:p>
        </w:tc>
        <w:tc>
          <w:tcPr>
            <w:tcW w:w="14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发现揭阳</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adjustRightInd w:val="0"/>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adjustRightInd w:val="0"/>
              <w:snapToGrid w:val="0"/>
              <w:rPr>
                <w:rFonts w:hint="eastAsia" w:ascii="仿宋_GB2312" w:hAnsi="仿宋_GB2312" w:eastAsia="仿宋_GB2312" w:cs="仿宋_GB2312"/>
                <w:sz w:val="32"/>
                <w:szCs w:val="32"/>
              </w:rPr>
            </w:pP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发现揭阳</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抖音短视频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市卫生健康局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http://www.jieyang.gov.cn/jywjj</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健康揭阳</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新浪微博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市退役军人</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事务局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http://www.jieyang.gov.cn/tyjr</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揭阳市退役军人事务局</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19"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p>
        </w:tc>
        <w:tc>
          <w:tcPr>
            <w:tcW w:w="880"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市应急管理局</w:t>
            </w:r>
          </w:p>
        </w:tc>
        <w:tc>
          <w:tcPr>
            <w:tcW w:w="156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http://www.jieyang.gov.cn/ajj</w:t>
            </w:r>
          </w:p>
        </w:tc>
        <w:tc>
          <w:tcPr>
            <w:tcW w:w="14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揭阳应急管理</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adjustRightInd w:val="0"/>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adjustRightInd w:val="0"/>
              <w:snapToGrid w:val="0"/>
              <w:rPr>
                <w:rFonts w:hint="eastAsia" w:ascii="仿宋_GB2312" w:hAnsi="仿宋_GB2312" w:eastAsia="仿宋_GB2312" w:cs="仿宋_GB2312"/>
                <w:sz w:val="32"/>
                <w:szCs w:val="32"/>
              </w:rPr>
            </w:pP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揭阳应急管理</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319" w:type="pct"/>
            <w:vMerge w:val="restar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p>
        </w:tc>
        <w:tc>
          <w:tcPr>
            <w:tcW w:w="880" w:type="pct"/>
            <w:vMerge w:val="restar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市市场监督</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管理局</w:t>
            </w:r>
          </w:p>
        </w:tc>
        <w:tc>
          <w:tcPr>
            <w:tcW w:w="1564" w:type="pct"/>
            <w:vMerge w:val="restar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http://www.jieyang.gov.cn/jyamr</w:t>
            </w:r>
          </w:p>
        </w:tc>
        <w:tc>
          <w:tcPr>
            <w:tcW w:w="14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揭阳市场监管</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19" w:type="pct"/>
            <w:vMerge w:val="continue"/>
            <w:noWrap w:val="0"/>
            <w:vAlign w:val="center"/>
          </w:tcPr>
          <w:p>
            <w:pPr>
              <w:snapToGrid w:val="0"/>
              <w:jc w:val="center"/>
              <w:rPr>
                <w:rFonts w:hint="eastAsia" w:ascii="仿宋_GB2312" w:hAnsi="仿宋_GB2312" w:eastAsia="仿宋_GB2312" w:cs="仿宋_GB2312"/>
                <w:sz w:val="32"/>
                <w:szCs w:val="32"/>
              </w:rPr>
            </w:pPr>
          </w:p>
        </w:tc>
        <w:tc>
          <w:tcPr>
            <w:tcW w:w="880" w:type="pct"/>
            <w:vMerge w:val="continue"/>
            <w:noWrap w:val="0"/>
            <w:vAlign w:val="center"/>
          </w:tcPr>
          <w:p>
            <w:pPr>
              <w:adjustRightInd w:val="0"/>
              <w:snapToGrid w:val="0"/>
              <w:jc w:val="center"/>
              <w:rPr>
                <w:rFonts w:hint="eastAsia" w:ascii="仿宋_GB2312" w:hAnsi="仿宋_GB2312" w:eastAsia="仿宋_GB2312" w:cs="仿宋_GB2312"/>
                <w:sz w:val="32"/>
                <w:szCs w:val="32"/>
              </w:rPr>
            </w:pPr>
          </w:p>
        </w:tc>
        <w:tc>
          <w:tcPr>
            <w:tcW w:w="1564" w:type="pct"/>
            <w:vMerge w:val="continue"/>
            <w:noWrap w:val="0"/>
            <w:vAlign w:val="center"/>
          </w:tcPr>
          <w:p>
            <w:pPr>
              <w:adjustRightInd w:val="0"/>
              <w:snapToGrid w:val="0"/>
              <w:rPr>
                <w:rFonts w:hint="eastAsia" w:ascii="仿宋_GB2312" w:hAnsi="仿宋_GB2312" w:eastAsia="仿宋_GB2312" w:cs="仿宋_GB2312"/>
                <w:sz w:val="32"/>
                <w:szCs w:val="32"/>
              </w:rPr>
            </w:pP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揭阳市场监管</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市统计局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http://www.jieyang.gov.cn/tjj</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揭阳统计</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市医疗保障局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http://www.jieyang.gov.cn/ylbz</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揭阳医保</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市城市管理和</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综合执法局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http://www.jieyang.gov.cn/jyzf</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揭阳城管</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319"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p>
        </w:tc>
        <w:tc>
          <w:tcPr>
            <w:tcW w:w="880"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市林业局</w:t>
            </w:r>
          </w:p>
        </w:tc>
        <w:tc>
          <w:tcPr>
            <w:tcW w:w="1564"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http://www.jieyang.gov.cn/jylyj</w:t>
            </w:r>
          </w:p>
        </w:tc>
        <w:tc>
          <w:tcPr>
            <w:tcW w:w="1495"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揭阳林长</w:t>
            </w:r>
          </w:p>
        </w:tc>
        <w:tc>
          <w:tcPr>
            <w:tcW w:w="741"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bl>
    <w:p>
      <w:pPr>
        <w:widowControl/>
        <w:rPr>
          <w:rFonts w:hint="eastAsia" w:ascii="黑体" w:hAnsi="黑体" w:eastAsia="黑体" w:cs="黑体"/>
          <w:kern w:val="0"/>
          <w:sz w:val="32"/>
          <w:szCs w:val="32"/>
        </w:rPr>
      </w:pPr>
      <w:r>
        <w:rPr>
          <w:rFonts w:hint="eastAsia" w:ascii="仿宋_GB2312" w:hAnsi="仿宋_GB2312" w:eastAsia="仿宋_GB2312" w:cs="仿宋_GB2312"/>
          <w:kern w:val="0"/>
          <w:sz w:val="32"/>
          <w:szCs w:val="32"/>
        </w:rPr>
        <w:br w:type="page"/>
      </w:r>
      <w:r>
        <w:rPr>
          <w:rFonts w:hint="eastAsia" w:ascii="黑体" w:hAnsi="黑体" w:eastAsia="黑体" w:cs="黑体"/>
          <w:kern w:val="0"/>
          <w:sz w:val="32"/>
          <w:szCs w:val="32"/>
        </w:rPr>
        <w:t>三、不承担对外服务职能的市有关单位</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38"/>
        <w:gridCol w:w="4325"/>
        <w:gridCol w:w="437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blHeader/>
          <w:jc w:val="center"/>
        </w:trPr>
        <w:tc>
          <w:tcPr>
            <w:tcW w:w="303" w:type="pct"/>
            <w:vMerge w:val="restart"/>
            <w:shd w:val="pct10" w:color="auto" w:fill="auto"/>
            <w:noWrap w:val="0"/>
            <w:vAlign w:val="center"/>
          </w:tcPr>
          <w:p>
            <w:pPr>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序号</w:t>
            </w:r>
          </w:p>
        </w:tc>
        <w:tc>
          <w:tcPr>
            <w:tcW w:w="895" w:type="pct"/>
            <w:vMerge w:val="restar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单位名称</w:t>
            </w:r>
          </w:p>
        </w:tc>
        <w:tc>
          <w:tcPr>
            <w:tcW w:w="1526"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政府网站（频道）</w:t>
            </w:r>
          </w:p>
        </w:tc>
        <w:tc>
          <w:tcPr>
            <w:tcW w:w="2275" w:type="pct"/>
            <w:gridSpan w:val="2"/>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政务新媒体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tblHeader/>
          <w:jc w:val="center"/>
        </w:trPr>
        <w:tc>
          <w:tcPr>
            <w:tcW w:w="303" w:type="pct"/>
            <w:vMerge w:val="continue"/>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p>
        </w:tc>
        <w:tc>
          <w:tcPr>
            <w:tcW w:w="895" w:type="pct"/>
            <w:vMerge w:val="continue"/>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p>
        </w:tc>
        <w:tc>
          <w:tcPr>
            <w:tcW w:w="1526"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网址</w:t>
            </w:r>
          </w:p>
        </w:tc>
        <w:tc>
          <w:tcPr>
            <w:tcW w:w="1542"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账号名称</w:t>
            </w:r>
          </w:p>
        </w:tc>
        <w:tc>
          <w:tcPr>
            <w:tcW w:w="732" w:type="pct"/>
            <w:shd w:val="pct10" w:color="auto" w:fill="auto"/>
            <w:noWrap w:val="0"/>
            <w:vAlign w:val="center"/>
          </w:tcPr>
          <w:p>
            <w:pPr>
              <w:spacing w:line="240" w:lineRule="atLeas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账号类型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exact"/>
          <w:jc w:val="center"/>
        </w:trPr>
        <w:tc>
          <w:tcPr>
            <w:tcW w:w="303"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8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市审计局</w:t>
            </w:r>
          </w:p>
        </w:tc>
        <w:tc>
          <w:tcPr>
            <w:tcW w:w="1526"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http://www.jieyang.gov.cn/sjj</w:t>
            </w:r>
          </w:p>
        </w:tc>
        <w:tc>
          <w:tcPr>
            <w:tcW w:w="1542"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揭阳审计</w:t>
            </w:r>
          </w:p>
        </w:tc>
        <w:tc>
          <w:tcPr>
            <w:tcW w:w="732"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exact"/>
          <w:jc w:val="center"/>
        </w:trPr>
        <w:tc>
          <w:tcPr>
            <w:tcW w:w="303"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8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市人民政府国有资产监督管理委员会</w:t>
            </w:r>
          </w:p>
        </w:tc>
        <w:tc>
          <w:tcPr>
            <w:tcW w:w="1526"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http://www.jieyang.gov.cn/gzw</w:t>
            </w:r>
          </w:p>
        </w:tc>
        <w:tc>
          <w:tcPr>
            <w:tcW w:w="1542" w:type="pct"/>
            <w:noWrap w:val="0"/>
            <w:vAlign w:val="center"/>
          </w:tcPr>
          <w:p>
            <w:pPr>
              <w:snapToGrid w:val="0"/>
              <w:jc w:val="center"/>
              <w:rPr>
                <w:rFonts w:hint="eastAsia" w:ascii="仿宋_GB2312" w:hAnsi="仿宋_GB2312" w:eastAsia="仿宋_GB2312" w:cs="仿宋_GB2312"/>
                <w:sz w:val="32"/>
                <w:szCs w:val="32"/>
              </w:rPr>
            </w:pPr>
          </w:p>
        </w:tc>
        <w:tc>
          <w:tcPr>
            <w:tcW w:w="732" w:type="pct"/>
            <w:noWrap w:val="0"/>
            <w:vAlign w:val="center"/>
          </w:tcPr>
          <w:p>
            <w:pPr>
              <w:snapToGrid w:val="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303"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8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市信访局</w:t>
            </w:r>
          </w:p>
        </w:tc>
        <w:tc>
          <w:tcPr>
            <w:tcW w:w="1526"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http://xfw.jieyang.gov.cn</w:t>
            </w:r>
          </w:p>
        </w:tc>
        <w:tc>
          <w:tcPr>
            <w:tcW w:w="1542"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揭阳市信访局</w:t>
            </w:r>
          </w:p>
        </w:tc>
        <w:tc>
          <w:tcPr>
            <w:tcW w:w="732"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03"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8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市招商办</w:t>
            </w:r>
          </w:p>
        </w:tc>
        <w:tc>
          <w:tcPr>
            <w:tcW w:w="1526"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http://www.jieyang.gov.cn/zsyzbgs/</w:t>
            </w:r>
          </w:p>
        </w:tc>
        <w:tc>
          <w:tcPr>
            <w:tcW w:w="1542"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揭阳招商</w:t>
            </w:r>
          </w:p>
        </w:tc>
        <w:tc>
          <w:tcPr>
            <w:tcW w:w="732"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303"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8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市机关事务局</w:t>
            </w:r>
          </w:p>
        </w:tc>
        <w:tc>
          <w:tcPr>
            <w:tcW w:w="1526"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http://www.jieyang.gov.cn/jgswj</w:t>
            </w:r>
          </w:p>
        </w:tc>
        <w:tc>
          <w:tcPr>
            <w:tcW w:w="1542"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揭阳市机关事务管理局</w:t>
            </w:r>
          </w:p>
        </w:tc>
        <w:tc>
          <w:tcPr>
            <w:tcW w:w="732"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303"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895" w:type="pct"/>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市人民政府驻</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广州办事处</w:t>
            </w:r>
          </w:p>
        </w:tc>
        <w:tc>
          <w:tcPr>
            <w:tcW w:w="1526" w:type="pct"/>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http://www.jieyang.gov.cn/zgb</w:t>
            </w:r>
          </w:p>
        </w:tc>
        <w:tc>
          <w:tcPr>
            <w:tcW w:w="1542"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揭阳市人民政府驻广州办事处</w:t>
            </w:r>
          </w:p>
        </w:tc>
        <w:tc>
          <w:tcPr>
            <w:tcW w:w="732" w:type="pct"/>
            <w:noWrap w:val="0"/>
            <w:vAlign w:val="center"/>
          </w:tcPr>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微信订阅号</w:t>
            </w:r>
          </w:p>
        </w:tc>
      </w:tr>
    </w:tbl>
    <w:p>
      <w:pPr>
        <w:adjustRightInd w:val="0"/>
        <w:snapToGrid w:val="0"/>
        <w:spacing w:line="580" w:lineRule="exact"/>
        <w:ind w:firstLine="1600" w:firstLineChars="500"/>
        <w:jc w:val="left"/>
        <w:rPr>
          <w:rFonts w:hint="eastAsia" w:ascii="仿宋_GB2312" w:hAnsi="仿宋_GB2312" w:eastAsia="仿宋_GB2312" w:cs="仿宋_GB2312"/>
          <w:sz w:val="32"/>
          <w:szCs w:val="32"/>
        </w:rPr>
        <w:sectPr>
          <w:footerReference r:id="rId4" w:type="first"/>
          <w:footerReference r:id="rId3" w:type="default"/>
          <w:pgSz w:w="16838" w:h="11906" w:orient="landscape"/>
          <w:pgMar w:top="1800" w:right="1440" w:bottom="1800" w:left="1440" w:header="1247" w:footer="1247" w:gutter="0"/>
          <w:pgNumType w:fmt="numberInDash" w:start="6"/>
          <w:cols w:space="720" w:num="1"/>
          <w:titlePg/>
          <w:docGrid w:type="lines" w:linePitch="312" w:charSpace="0"/>
        </w:sectPr>
      </w:pPr>
      <w:r>
        <w:rPr>
          <w:rFonts w:hint="eastAsia" w:ascii="仿宋_GB2312" w:hAnsi="仿宋_GB2312" w:eastAsia="仿宋_GB2312" w:cs="仿宋_GB2312"/>
          <w:sz w:val="32"/>
          <w:szCs w:val="32"/>
        </w:rPr>
        <w:br w:type="page"/>
      </w:r>
    </w:p>
    <w:p>
      <w:pPr>
        <w:widowControl/>
        <w:jc w:val="left"/>
        <w:rPr>
          <w:rFonts w:hint="eastAsia" w:ascii="黑体" w:hAnsi="黑体" w:eastAsia="黑体" w:cs="黑体"/>
          <w:kern w:val="0"/>
          <w:sz w:val="32"/>
          <w:szCs w:val="32"/>
        </w:rPr>
      </w:pPr>
      <w:r>
        <w:rPr>
          <w:rFonts w:hint="eastAsia" w:ascii="黑体" w:hAnsi="黑体" w:eastAsia="黑体" w:cs="黑体"/>
          <w:kern w:val="0"/>
          <w:sz w:val="32"/>
          <w:szCs w:val="32"/>
        </w:rPr>
        <w:t>附件2</w:t>
      </w:r>
    </w:p>
    <w:p>
      <w:pPr>
        <w:widowControl/>
        <w:spacing w:line="500" w:lineRule="exact"/>
        <w:rPr>
          <w:rFonts w:hint="eastAsia" w:ascii="仿宋_GB2312" w:hAnsi="仿宋_GB2312" w:eastAsia="仿宋_GB2312" w:cs="仿宋_GB2312"/>
          <w:kern w:val="0"/>
          <w:sz w:val="32"/>
          <w:szCs w:val="32"/>
        </w:rPr>
      </w:pP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2023年度揭阳市政府网站与政务新媒体考评指标及评分细则</w:t>
      </w:r>
    </w:p>
    <w:p>
      <w:pPr>
        <w:adjustRightInd w:val="0"/>
        <w:snapToGrid w:val="0"/>
        <w:spacing w:line="580" w:lineRule="exact"/>
        <w:rPr>
          <w:rFonts w:hint="eastAsia" w:ascii="仿宋_GB2312" w:hAnsi="仿宋_GB2312" w:eastAsia="仿宋_GB2312" w:cs="仿宋_GB2312"/>
          <w:sz w:val="32"/>
          <w:szCs w:val="32"/>
        </w:rPr>
      </w:pPr>
    </w:p>
    <w:p>
      <w:pPr>
        <w:adjustRightInd w:val="0"/>
        <w:snapToGrid w:val="0"/>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指标说明：</w:t>
      </w:r>
    </w:p>
    <w:p>
      <w:pPr>
        <w:widowControl/>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本指标分为三部分，第一部分为单项否决指标；第二部分</w:t>
      </w:r>
      <w:r>
        <w:rPr>
          <w:rFonts w:hint="eastAsia" w:ascii="仿宋_GB2312" w:hAnsi="仿宋_GB2312" w:eastAsia="仿宋_GB2312" w:cs="仿宋_GB2312"/>
          <w:sz w:val="32"/>
          <w:szCs w:val="32"/>
        </w:rPr>
        <w:t>为基础性指标，分值为100分；第三部分为引导性指标，分值为25分。</w:t>
      </w:r>
    </w:p>
    <w:p>
      <w:pPr>
        <w:widowControl/>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对政府网站（频道）检查时，如出现</w:t>
      </w:r>
      <w:r>
        <w:rPr>
          <w:rFonts w:hint="eastAsia" w:ascii="仿宋_GB2312" w:hAnsi="仿宋_GB2312" w:eastAsia="仿宋_GB2312" w:cs="仿宋_GB2312"/>
          <w:color w:val="000000"/>
          <w:sz w:val="32"/>
          <w:szCs w:val="32"/>
        </w:rPr>
        <w:t>单项否决指标中的任意一种情形，即判定为不合格网站（频道），不再对其他指标进行评分。如网站（频道）不存在单项否决问题，则对基础性指标和引导性指标进行评分。其中，采用扣分方式评分的，单项指标扣分之和不超过本项指标总分值。</w:t>
      </w:r>
    </w:p>
    <w:p>
      <w:pPr>
        <w:widowControl/>
        <w:adjustRightInd w:val="0"/>
        <w:snapToGrid w:val="0"/>
        <w:spacing w:line="580" w:lineRule="exact"/>
        <w:ind w:firstLine="640" w:firstLineChars="200"/>
        <w:rPr>
          <w:rFonts w:hint="eastAsia" w:ascii="仿宋_GB2312" w:hAnsi="仿宋_GB2312" w:eastAsia="仿宋_GB2312" w:cs="仿宋_GB2312"/>
          <w:sz w:val="32"/>
          <w:szCs w:val="32"/>
        </w:rPr>
        <w:sectPr>
          <w:headerReference r:id="rId5" w:type="default"/>
          <w:footerReference r:id="rId6" w:type="default"/>
          <w:pgSz w:w="11906" w:h="16838"/>
          <w:pgMar w:top="1440" w:right="1803" w:bottom="1440" w:left="1803" w:header="1247" w:footer="1247" w:gutter="0"/>
          <w:pgNumType w:fmt="numberInDash" w:start="14"/>
          <w:cols w:space="0" w:num="1"/>
          <w:rtlGutter w:val="0"/>
          <w:docGrid w:type="lines" w:linePitch="312" w:charSpace="0"/>
        </w:sectPr>
      </w:pPr>
      <w:r>
        <w:rPr>
          <w:rFonts w:hint="eastAsia" w:ascii="仿宋_GB2312" w:hAnsi="仿宋_GB2312" w:eastAsia="仿宋_GB2312" w:cs="仿宋_GB2312"/>
          <w:sz w:val="32"/>
          <w:szCs w:val="32"/>
        </w:rPr>
        <w:t>对于没有对外服务职能或未开设政务新媒体的市直有关单位，不检查其办事服务或政务新媒体指标，对</w:t>
      </w:r>
      <w:r>
        <w:rPr>
          <w:rFonts w:hint="eastAsia" w:ascii="仿宋_GB2312" w:hAnsi="仿宋_GB2312" w:eastAsia="仿宋_GB2312" w:cs="仿宋_GB2312"/>
          <w:color w:val="000000"/>
          <w:sz w:val="32"/>
          <w:szCs w:val="32"/>
        </w:rPr>
        <w:t>基础性指标</w:t>
      </w:r>
      <w:r>
        <w:rPr>
          <w:rFonts w:hint="eastAsia" w:ascii="仿宋_GB2312" w:hAnsi="仿宋_GB2312" w:eastAsia="仿宋_GB2312" w:cs="仿宋_GB2312"/>
          <w:sz w:val="32"/>
          <w:szCs w:val="32"/>
        </w:rPr>
        <w:t>评分时以85分为满分，结果乘以100/85为第二部分得分；既没有对外服务职能又未开设政务新媒体的市有关单位基础性指标评分时以70分为满分，结果乘以100/70为第二部分得分。</w:t>
      </w:r>
    </w:p>
    <w:p>
      <w:pPr>
        <w:spacing w:before="156" w:beforeLines="50" w:after="156" w:afterLines="50"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一、单项否决指标</w:t>
      </w:r>
    </w:p>
    <w:tbl>
      <w:tblPr>
        <w:tblStyle w:val="6"/>
        <w:tblW w:w="13890" w:type="dxa"/>
        <w:tblInd w:w="135" w:type="dxa"/>
        <w:tblLayout w:type="fixed"/>
        <w:tblCellMar>
          <w:top w:w="0" w:type="dxa"/>
          <w:left w:w="108" w:type="dxa"/>
          <w:bottom w:w="0" w:type="dxa"/>
          <w:right w:w="108" w:type="dxa"/>
        </w:tblCellMar>
      </w:tblPr>
      <w:tblGrid>
        <w:gridCol w:w="1545"/>
        <w:gridCol w:w="1545"/>
        <w:gridCol w:w="10800"/>
      </w:tblGrid>
      <w:tr>
        <w:tblPrEx>
          <w:tblCellMar>
            <w:top w:w="0" w:type="dxa"/>
            <w:left w:w="108" w:type="dxa"/>
            <w:bottom w:w="0" w:type="dxa"/>
            <w:right w:w="108" w:type="dxa"/>
          </w:tblCellMar>
        </w:tblPrEx>
        <w:trPr>
          <w:cantSplit/>
          <w:trHeight w:val="695" w:hRule="atLeast"/>
          <w:tblHeader/>
        </w:trPr>
        <w:tc>
          <w:tcPr>
            <w:tcW w:w="154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检查对象</w:t>
            </w:r>
          </w:p>
        </w:tc>
        <w:tc>
          <w:tcPr>
            <w:tcW w:w="1545" w:type="dxa"/>
            <w:tcBorders>
              <w:top w:val="single" w:color="auto" w:sz="4" w:space="0"/>
              <w:left w:val="nil"/>
              <w:bottom w:val="single" w:color="auto" w:sz="4" w:space="0"/>
              <w:right w:val="single" w:color="auto" w:sz="4" w:space="0"/>
            </w:tcBorders>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指标</w:t>
            </w:r>
          </w:p>
        </w:tc>
        <w:tc>
          <w:tcPr>
            <w:tcW w:w="10800" w:type="dxa"/>
            <w:tcBorders>
              <w:top w:val="single" w:color="auto" w:sz="4" w:space="0"/>
              <w:left w:val="nil"/>
              <w:bottom w:val="single" w:color="auto" w:sz="4" w:space="0"/>
              <w:right w:val="single" w:color="auto" w:sz="4" w:space="0"/>
            </w:tcBorders>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评分细则</w:t>
            </w:r>
          </w:p>
        </w:tc>
      </w:tr>
      <w:tr>
        <w:tblPrEx>
          <w:tblCellMar>
            <w:top w:w="0" w:type="dxa"/>
            <w:left w:w="108" w:type="dxa"/>
            <w:bottom w:w="0" w:type="dxa"/>
            <w:right w:w="108" w:type="dxa"/>
          </w:tblCellMar>
        </w:tblPrEx>
        <w:trPr>
          <w:cantSplit/>
          <w:trHeight w:val="3590" w:hRule="atLeast"/>
        </w:trPr>
        <w:tc>
          <w:tcPr>
            <w:tcW w:w="154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政府网站（频道）</w:t>
            </w:r>
          </w:p>
        </w:tc>
        <w:tc>
          <w:tcPr>
            <w:tcW w:w="154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安全、泄密事故等严重问题</w:t>
            </w:r>
          </w:p>
        </w:tc>
        <w:tc>
          <w:tcPr>
            <w:tcW w:w="10800"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1.出现严重表述错误；</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2.泄露国家秘密；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3.发布或链接反动、暴力、色情等内容；</w:t>
            </w:r>
          </w:p>
          <w:p>
            <w:pPr>
              <w:widowControl/>
              <w:adjustRightInd w:val="0"/>
              <w:snapToGrid w:val="0"/>
              <w:spacing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4.对安全攻击（如页面被挂马、内容被篡改等）没有及时有效处置造成严重安全事故;</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5.存在弄虚作假行为（如伪造发稿日期等）；</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6.因网站建设管理工作不当引发严重负面舆情。</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上述情况出现任意一种，即单项否决。</w:t>
            </w:r>
          </w:p>
        </w:tc>
      </w:tr>
      <w:tr>
        <w:tblPrEx>
          <w:tblCellMar>
            <w:top w:w="0" w:type="dxa"/>
            <w:left w:w="108" w:type="dxa"/>
            <w:bottom w:w="0" w:type="dxa"/>
            <w:right w:w="108" w:type="dxa"/>
          </w:tblCellMar>
        </w:tblPrEx>
        <w:trPr>
          <w:cantSplit/>
          <w:trHeight w:val="1250" w:hRule="atLeast"/>
        </w:trPr>
        <w:tc>
          <w:tcPr>
            <w:tcW w:w="154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154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站点无法访问</w:t>
            </w:r>
          </w:p>
        </w:tc>
        <w:tc>
          <w:tcPr>
            <w:tcW w:w="10800"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监测1周，每天间隔性访问20次以上，超过（含）15秒网站（频道）仍打不开的次数累计占比超过（含）5%，即单项否决。</w:t>
            </w:r>
          </w:p>
        </w:tc>
      </w:tr>
      <w:tr>
        <w:tblPrEx>
          <w:tblCellMar>
            <w:top w:w="0" w:type="dxa"/>
            <w:left w:w="108" w:type="dxa"/>
            <w:bottom w:w="0" w:type="dxa"/>
            <w:right w:w="108" w:type="dxa"/>
          </w:tblCellMar>
        </w:tblPrEx>
        <w:trPr>
          <w:cantSplit/>
          <w:trHeight w:val="1755" w:hRule="atLeast"/>
        </w:trPr>
        <w:tc>
          <w:tcPr>
            <w:tcW w:w="154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154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首页不更新</w:t>
            </w:r>
          </w:p>
        </w:tc>
        <w:tc>
          <w:tcPr>
            <w:tcW w:w="10800"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监测2周，网站（频道）首页无信息更新的，即单项否决。</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注：稿件发布页未注明发布时间的视为不更新，下同。</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如首页仅为网站栏目导航入口，所有二级页面无信息更新的，即单项否决。</w:t>
            </w:r>
          </w:p>
        </w:tc>
      </w:tr>
      <w:tr>
        <w:tblPrEx>
          <w:tblCellMar>
            <w:top w:w="0" w:type="dxa"/>
            <w:left w:w="108" w:type="dxa"/>
            <w:bottom w:w="0" w:type="dxa"/>
            <w:right w:w="108" w:type="dxa"/>
          </w:tblCellMar>
        </w:tblPrEx>
        <w:trPr>
          <w:cantSplit/>
          <w:trHeight w:val="1950" w:hRule="atLeast"/>
        </w:trPr>
        <w:tc>
          <w:tcPr>
            <w:tcW w:w="154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154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栏目不更新</w:t>
            </w:r>
          </w:p>
        </w:tc>
        <w:tc>
          <w:tcPr>
            <w:tcW w:w="10800" w:type="dxa"/>
            <w:tcBorders>
              <w:top w:val="nil"/>
              <w:left w:val="nil"/>
              <w:bottom w:val="single" w:color="auto" w:sz="4" w:space="0"/>
              <w:right w:val="single" w:color="auto" w:sz="4" w:space="0"/>
            </w:tcBorders>
            <w:noWrap w:val="0"/>
            <w:vAlign w:val="center"/>
          </w:tcPr>
          <w:p>
            <w:pPr>
              <w:widowControl/>
              <w:adjustRightInd w:val="0"/>
              <w:snapToGrid w:val="0"/>
              <w:spacing w:line="36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1.监测时间点前2周内的动态、要闻类栏目，以及监测时间点前6个月内的通知公告、政策文件类一级栏目，累计超过（含）5个未更新；</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2.应更新但长期未更新的栏目数量超过（含）10个；</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3.空白栏目数量超过（含）5个。</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上述情况出现任意一种，即单项否决。</w:t>
            </w:r>
          </w:p>
        </w:tc>
      </w:tr>
      <w:tr>
        <w:tblPrEx>
          <w:tblCellMar>
            <w:top w:w="0" w:type="dxa"/>
            <w:left w:w="108" w:type="dxa"/>
            <w:bottom w:w="0" w:type="dxa"/>
            <w:right w:w="108" w:type="dxa"/>
          </w:tblCellMar>
        </w:tblPrEx>
        <w:trPr>
          <w:cantSplit/>
          <w:trHeight w:val="2265" w:hRule="atLeast"/>
        </w:trPr>
        <w:tc>
          <w:tcPr>
            <w:tcW w:w="154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154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互动回应差</w:t>
            </w:r>
          </w:p>
        </w:tc>
        <w:tc>
          <w:tcPr>
            <w:tcW w:w="10800" w:type="dxa"/>
            <w:tcBorders>
              <w:top w:val="nil"/>
              <w:left w:val="nil"/>
              <w:bottom w:val="single" w:color="auto" w:sz="4" w:space="0"/>
              <w:right w:val="single" w:color="auto" w:sz="4" w:space="0"/>
            </w:tcBorders>
            <w:noWrap w:val="0"/>
            <w:vAlign w:val="center"/>
          </w:tcPr>
          <w:p>
            <w:pPr>
              <w:widowControl/>
              <w:adjustRightInd w:val="0"/>
              <w:snapToGrid w:val="0"/>
              <w:spacing w:line="36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1.未提供网上有效咨询建言渠道（网上信访、纪检举报等专门渠道除外，频道和信息公开平台不考核该指标）；</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2.监测时间点前1年内，对网民留言应及时答复处理的政务咨询类栏目（在线访谈、调查征集、网上信访、纪检举报类栏目除外）存在超过3个月未回应有效留言的现象。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上述情况出现任意一种，即单项否决。</w:t>
            </w:r>
          </w:p>
        </w:tc>
      </w:tr>
      <w:tr>
        <w:tblPrEx>
          <w:tblCellMar>
            <w:top w:w="0" w:type="dxa"/>
            <w:left w:w="108" w:type="dxa"/>
            <w:bottom w:w="0" w:type="dxa"/>
            <w:right w:w="108" w:type="dxa"/>
          </w:tblCellMar>
        </w:tblPrEx>
        <w:trPr>
          <w:cantSplit/>
          <w:trHeight w:val="3315" w:hRule="atLeast"/>
        </w:trPr>
        <w:tc>
          <w:tcPr>
            <w:tcW w:w="1545" w:type="dxa"/>
            <w:vMerge w:val="continue"/>
            <w:tcBorders>
              <w:top w:val="nil"/>
              <w:left w:val="single" w:color="auto" w:sz="4" w:space="0"/>
              <w:bottom w:val="single" w:color="000000"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154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服务不实用</w:t>
            </w:r>
          </w:p>
        </w:tc>
        <w:tc>
          <w:tcPr>
            <w:tcW w:w="10800" w:type="dxa"/>
            <w:tcBorders>
              <w:top w:val="nil"/>
              <w:left w:val="nil"/>
              <w:bottom w:val="single" w:color="auto" w:sz="4" w:space="0"/>
              <w:right w:val="single" w:color="auto" w:sz="4" w:space="0"/>
            </w:tcBorders>
            <w:noWrap w:val="0"/>
            <w:vAlign w:val="center"/>
          </w:tcPr>
          <w:p>
            <w:pPr>
              <w:widowControl/>
              <w:adjustRightInd w:val="0"/>
              <w:snapToGrid w:val="0"/>
              <w:spacing w:line="36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1.未提供办事服务；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2.办事指南重点要素类别（包括事项名称、设定依据、申请条件、办理材料、办理地点、办理机构、收费标准、办理时间、联系电话、办理流程）缺失4类及以上的事项数量超过（含）5个；</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3.事项总数不足5个的，每个事项办事指南重点要素类别（包括事项名称、设定依据、申请条件、办理材料、办理地点、办理机构、收费标准、办理时间、联系电话、办理流程）均缺失4类及以上。</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上述情况出现任意一种，即单项否决。</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注：对不承担对外服务职能的市有关单位，不检查其网站（频道）该项指标。</w:t>
            </w:r>
          </w:p>
        </w:tc>
      </w:tr>
      <w:tr>
        <w:tblPrEx>
          <w:tblCellMar>
            <w:top w:w="0" w:type="dxa"/>
            <w:left w:w="108" w:type="dxa"/>
            <w:bottom w:w="0" w:type="dxa"/>
            <w:right w:w="108" w:type="dxa"/>
          </w:tblCellMar>
        </w:tblPrEx>
        <w:trPr>
          <w:cantSplit/>
          <w:trHeight w:val="2870" w:hRule="atLeast"/>
        </w:trPr>
        <w:tc>
          <w:tcPr>
            <w:tcW w:w="154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政务新媒体</w:t>
            </w:r>
          </w:p>
        </w:tc>
        <w:tc>
          <w:tcPr>
            <w:tcW w:w="154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安全、泄密事故等严重问题</w:t>
            </w:r>
          </w:p>
        </w:tc>
        <w:tc>
          <w:tcPr>
            <w:tcW w:w="10800"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1.出现严重表述错误；</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2.泄露国家秘密；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3.发布或链接反动、暴力、色情、迷信等内容；</w:t>
            </w:r>
          </w:p>
          <w:p>
            <w:pPr>
              <w:widowControl/>
              <w:adjustRightInd w:val="0"/>
              <w:snapToGrid w:val="0"/>
              <w:spacing w:line="400" w:lineRule="exac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4.因发布内容不当引发严重负面舆情。</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上述情况出现任意一种，即单项否决。</w:t>
            </w:r>
          </w:p>
        </w:tc>
      </w:tr>
      <w:tr>
        <w:tblPrEx>
          <w:tblCellMar>
            <w:top w:w="0" w:type="dxa"/>
            <w:left w:w="108" w:type="dxa"/>
            <w:bottom w:w="0" w:type="dxa"/>
            <w:right w:w="108" w:type="dxa"/>
          </w:tblCellMar>
        </w:tblPrEx>
        <w:trPr>
          <w:cantSplit/>
          <w:trHeight w:val="1845" w:hRule="atLeast"/>
        </w:trPr>
        <w:tc>
          <w:tcPr>
            <w:tcW w:w="15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154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内容不更新</w:t>
            </w:r>
          </w:p>
        </w:tc>
        <w:tc>
          <w:tcPr>
            <w:tcW w:w="10800"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1.监测时间点前2周内无更新；</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2.移动客户端（APP）无法下载或使用，发生“僵尸”“睡眠”情况。</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上述情况出现任意一种，即单项否决。</w:t>
            </w:r>
          </w:p>
        </w:tc>
      </w:tr>
      <w:tr>
        <w:tblPrEx>
          <w:tblCellMar>
            <w:top w:w="0" w:type="dxa"/>
            <w:left w:w="108" w:type="dxa"/>
            <w:bottom w:w="0" w:type="dxa"/>
            <w:right w:w="108" w:type="dxa"/>
          </w:tblCellMar>
        </w:tblPrEx>
        <w:trPr>
          <w:cantSplit/>
          <w:trHeight w:val="1750" w:hRule="atLeast"/>
        </w:trPr>
        <w:tc>
          <w:tcPr>
            <w:tcW w:w="15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154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互动回应差</w:t>
            </w:r>
          </w:p>
        </w:tc>
        <w:tc>
          <w:tcPr>
            <w:tcW w:w="10800"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1.未提供有效互动功能；</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2.存在购买“粉丝”、强制要求群众点赞等弄虚作假行为。</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上述情况出现任意一种，即单项否决。</w:t>
            </w:r>
          </w:p>
        </w:tc>
      </w:tr>
    </w:tbl>
    <w:p>
      <w:pPr>
        <w:widowControl/>
        <w:jc w:val="left"/>
        <w:rPr>
          <w:rFonts w:hint="eastAsia" w:ascii="仿宋_GB2312" w:hAnsi="仿宋_GB2312" w:eastAsia="仿宋_GB2312" w:cs="仿宋_GB2312"/>
          <w:sz w:val="32"/>
          <w:szCs w:val="32"/>
        </w:rPr>
      </w:pPr>
    </w:p>
    <w:p>
      <w:pPr>
        <w:widowControl/>
        <w:jc w:val="left"/>
        <w:rPr>
          <w:rFonts w:hint="eastAsia" w:ascii="黑体" w:hAnsi="黑体" w:eastAsia="黑体" w:cs="黑体"/>
          <w:color w:val="000000"/>
          <w:sz w:val="32"/>
          <w:szCs w:val="32"/>
        </w:rPr>
      </w:pPr>
      <w:r>
        <w:rPr>
          <w:rFonts w:hint="eastAsia" w:ascii="仿宋_GB2312" w:hAnsi="仿宋_GB2312" w:eastAsia="仿宋_GB2312" w:cs="仿宋_GB2312"/>
          <w:sz w:val="32"/>
          <w:szCs w:val="32"/>
        </w:rPr>
        <w:br w:type="page"/>
      </w:r>
      <w:r>
        <w:rPr>
          <w:rFonts w:hint="eastAsia" w:ascii="黑体" w:hAnsi="黑体" w:eastAsia="黑体" w:cs="黑体"/>
          <w:color w:val="000000"/>
          <w:sz w:val="32"/>
          <w:szCs w:val="32"/>
        </w:rPr>
        <w:t>二、基础性指标（100分）</w:t>
      </w:r>
    </w:p>
    <w:tbl>
      <w:tblPr>
        <w:tblStyle w:val="6"/>
        <w:tblW w:w="142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2160"/>
        <w:gridCol w:w="943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blHeader/>
        </w:trPr>
        <w:tc>
          <w:tcPr>
            <w:tcW w:w="1653" w:type="dxa"/>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一级指标</w:t>
            </w:r>
          </w:p>
        </w:tc>
        <w:tc>
          <w:tcPr>
            <w:tcW w:w="2160" w:type="dxa"/>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二级指标</w:t>
            </w:r>
          </w:p>
        </w:tc>
        <w:tc>
          <w:tcPr>
            <w:tcW w:w="9435" w:type="dxa"/>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评分细则</w:t>
            </w:r>
          </w:p>
        </w:tc>
        <w:tc>
          <w:tcPr>
            <w:tcW w:w="990" w:type="dxa"/>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0" w:hRule="atLeast"/>
        </w:trPr>
        <w:tc>
          <w:tcPr>
            <w:tcW w:w="1653" w:type="dxa"/>
            <w:vMerge w:val="restart"/>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健康情况</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（20分）</w:t>
            </w: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常态化监管</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照国办普查评分要求（国办发﹝2015﹞15号）及《政府网站与政务新媒体检查指标》和《政府网站与政务新媒体监管工作年度考核指标》（国办秘函﹝2019﹞19号）要求，每季度对各单位网站（频道）与政务新媒体健康情况进行检查；单位网站（频道）或政务新媒体的季度监测结果不合格的，每次扣3分，扣完为止；监测结果合格的则按照“栏目不更新”占比情况计算扣分；</w:t>
            </w:r>
          </w:p>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2.未及时对季度检查发现的问题进行整改或整改不到位的，每次扣1.5分，扣完为止。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内容安全</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1.网站（频道）与政务新媒体日常监测存在严重错敏字情况（如涉中央主要领导同志姓名或职务，党和国家全称、党和国家重要会议，重大活动，重要理论等表述不准确不规范）的，每条扣0.5分，扣完为止；</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2.网站（频道）与政务新媒体日常监测出现不良链接（赌博、色情）和信息泄露情况的，每次扣0.5分，扣完为止。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问题地图</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1.未采用测绘地信部门发布的标准地图或未使用带有审图号的地图，此项不得分；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2.存在漏绘钓鱼岛、赤尾屿、南海诸岛等重要岛屿，错误表示台湾省、错绘藏南地区和阿克赛钦地区国界线等问题的，此项不得分。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可用性</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1.首页上的链接（包括图片、附件、外部链接等）打不开或错误的，每发现一处扣0.2分，扣完为止；如首页仅为网站栏目导航入口，则检查所有二级页面上的链接；</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2.其他页面上的链接（包括图片、附件、外部链接等）打不开或错误的，每发现一处扣0.1分，扣完为止。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trPr>
        <w:tc>
          <w:tcPr>
            <w:tcW w:w="1653" w:type="dxa"/>
            <w:vMerge w:val="restart"/>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bookmarkStart w:id="0" w:name="RANGE!B9"/>
            <w:r>
              <w:rPr>
                <w:rFonts w:hint="eastAsia" w:ascii="仿宋_GB2312" w:hAnsi="仿宋_GB2312" w:eastAsia="仿宋_GB2312" w:cs="仿宋_GB2312"/>
                <w:kern w:val="0"/>
                <w:sz w:val="32"/>
                <w:szCs w:val="32"/>
              </w:rPr>
              <w:t>发布解读</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（20分）</w:t>
            </w:r>
            <w:bookmarkEnd w:id="0"/>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概况信息</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1.未开设概况信息类栏目的，此项不得分；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2.概况信息更新不及时或不准确的，每发现一处扣0.5分，扣完为止。</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注：市直</w:t>
            </w:r>
            <w:r>
              <w:rPr>
                <w:rFonts w:hint="eastAsia" w:ascii="仿宋_GB2312" w:hAnsi="仿宋_GB2312" w:eastAsia="仿宋_GB2312" w:cs="仿宋_GB2312"/>
                <w:kern w:val="0"/>
                <w:sz w:val="32"/>
                <w:szCs w:val="32"/>
                <w:lang w:eastAsia="zh-CN"/>
              </w:rPr>
              <w:t>有</w:t>
            </w:r>
            <w:r>
              <w:rPr>
                <w:rFonts w:hint="eastAsia" w:ascii="仿宋_GB2312" w:hAnsi="仿宋_GB2312" w:eastAsia="仿宋_GB2312" w:cs="仿宋_GB2312"/>
                <w:kern w:val="0"/>
                <w:sz w:val="32"/>
                <w:szCs w:val="32"/>
              </w:rPr>
              <w:t>关单位不考核概况信息，权重转移至“年报报表”指标。</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机构职能</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1.未开设机构职能类栏目的，此项不得分；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2.机构职能信息不准确的，每发现一处扣0.5分，扣完为止。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领导信息</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1.未开设领导信息类栏目的，此项不得分；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2.领导姓名、简历等信息缺失或不准确的，每发现一处扣0.5分，扣完为止。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动态要闻</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1.未开设动态要闻类栏目的，此项不得分；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2.监测时间点前2周内未更新的，此项不得分。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通知公告</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1.未开设通知公告类栏目的，此项不得分；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2.监测时间点前6个月内未更新的，此项不得分。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政策文件</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1.未开设政策文件类栏目的，此项不得分；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2.监测时间点前6个月内政策文件类一级栏目未更新的，此项不得分。</w:t>
            </w:r>
          </w:p>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注：市直单位网站（频道）无政策文件栏目则本指标权重平均转移至“机构职能”和“领导信息”指标。</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政策解读</w:t>
            </w:r>
          </w:p>
        </w:tc>
        <w:tc>
          <w:tcPr>
            <w:tcW w:w="9435" w:type="dxa"/>
            <w:noWrap w:val="0"/>
            <w:vAlign w:val="center"/>
          </w:tcPr>
          <w:p>
            <w:pPr>
              <w:widowControl/>
              <w:numPr>
                <w:ilvl w:val="-1"/>
                <w:numId w:val="0"/>
              </w:numPr>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未开设政策解读类栏目的或监测时间点前6个月内政策解读类一级栏目未更新的，此项不得分；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2.仅通过文字进行解读或解读稿与文件原文高度一致的，扣1分。</w:t>
            </w:r>
          </w:p>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注：市直单位网站（频道）无政策文件栏目则本指标权重平均转移至“动态要闻”和“通知公告”指标。</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解读比例</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随机抽查网站已发布的2个以本地区/本部门名义印发的政策文件，被解读的文件数量每少一个，扣1分。</w:t>
            </w:r>
          </w:p>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注：1.不足2个的则检查全部文件，并按比例进行扣分；</w:t>
            </w:r>
          </w:p>
          <w:p>
            <w:pPr>
              <w:widowControl/>
              <w:adjustRightInd w:val="0"/>
              <w:snapToGrid w:val="0"/>
              <w:spacing w:line="400" w:lineRule="exact"/>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 xml:space="preserve">    2.市直单位网站（频道）无政策文件栏目则本指标权重转移至“重点领域与其他栏目”指标。</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解读关联</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随机抽查网站已发布的2个解读稿：未与被解读的政策文件相关联的，每发现一处，扣0.25分；该政策文件未与被抽查解读稿相关联的，每发现一处，扣0.25分。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注：不足2个的则检查全部解读稿，并按比例进行扣分；市直单位网站（频道）无政策文件栏目则本指标权重转移至“重点领域与其他栏目”指标。</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数据发布</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1.未在本地区本部门政府网站（频道）提供“开放广东”全省政府数据统一开放平台“揭阳市”专栏入口的，扣1分；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2.本地区本部门数据集应更新未更新的，每发现一处，扣1分,扣完为止。</w:t>
            </w:r>
          </w:p>
        </w:tc>
        <w:tc>
          <w:tcPr>
            <w:tcW w:w="990" w:type="dxa"/>
            <w:noWrap w:val="0"/>
            <w:vAlign w:val="center"/>
          </w:tcPr>
          <w:p>
            <w:pPr>
              <w:pStyle w:val="3"/>
              <w:adjustRightInd w:val="0"/>
              <w:snapToGrid w:val="0"/>
              <w:spacing w:line="40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年报报表</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1.未公开或超时公开政府网站工作年度报表及未在网站首页显著位置发布，此项不得分；（频道不考核此点）</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2.未公开或超时公开政府信息公开工作年度报告的，此项不得分。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重点领域与主动公开等其他栏目</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1.根据重点领域信息公开专栏建设规范及重点领域相关要求，每发现一个领域未公开或建设不规范、应更新未更新的，扣1分，扣完为止；</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2.网站（频道）其他栏目存在空白或应更新未更新的，每发现一个扣1分，扣完为止。</w:t>
            </w:r>
          </w:p>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地区网站部分重点领域客观受限无法建设保障的，需提供上级主管单位同意佐证材料，否则正常考评处理；无涉及市门户重点领域分工保障的市直单位在自评中提出说明，按第2点细则考核；已按上述其他指标扣分的，本指标项不重复扣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1653" w:type="dxa"/>
            <w:vMerge w:val="restart"/>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办事服务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（15分）</w:t>
            </w: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事项公开</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未对办事服务事项集中分类展示的，此项不得分。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办事统计</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1.未公开办事统计数据的，此项不得分；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2.监测时间点前1个月内未更新的，扣0.5分；3个月内未更新的，此项不得分。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要素全面性</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抽查4个办事服务事项，存在办事指南要素（包括事项名称、设定依据、申请条件、办理流程、办理时限、收费标准、办理材料、办理地点、办理机构、联系方式等）缺失的情形，每发现一处扣1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内容准确性</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随机抽查4个办事服务事项，办事指南信息存在错误，或与线下实际办事情况不一致，每发现一处扣1分，扣完为止。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流程清晰度</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随机抽查2个办事服务事项，存在仅提供办理环节名称（如：申请、受理、审查、决定等），而未明确说明各环节具体内容，每发现一处扣1分，扣完为止。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材料明确性</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抽查2个办事服务事项，未明确的办理材料格式要求（如：原件/复印件、纸质版/电子版、份数等），或存在表述含糊不清的情形（如：根据有关法律法规规定应提交的其他材料等），每发现一处扣1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附件实用性</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随机抽查2个办事服务事项，办事指南中要求提供申请表、申请书等表单的，但未提供规范表格的获取渠道、填写说明或示范文本，每发现一处，扣1分，扣完为止。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1653" w:type="dxa"/>
            <w:vMerge w:val="restart"/>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互动交流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（10分）</w:t>
            </w: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信息提交</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存在网民（含异地用户）无法使用网站互动交流功能提交信息问题的，此项不得分。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留言公开</w:t>
            </w:r>
          </w:p>
        </w:tc>
        <w:tc>
          <w:tcPr>
            <w:tcW w:w="9435" w:type="dxa"/>
            <w:noWrap w:val="0"/>
            <w:vAlign w:val="center"/>
          </w:tcPr>
          <w:p>
            <w:pPr>
              <w:widowControl/>
              <w:numPr>
                <w:ilvl w:val="-1"/>
                <w:numId w:val="0"/>
              </w:numPr>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咨询建言类栏目（网上信访、纪检举报等专门渠道除外）对所有网民留言都未公开的，此项不得分；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2.随机抽查5条已公开的网民留言，未公开留言时间、答复时间、答复单位、答复内容的，每发现一处，扣1分；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3.监测时间点前2个月内未更新的，扣1分；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4.未公开留言受理反馈情况统计数据的，扣1分；</w:t>
            </w:r>
          </w:p>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5.年度内涉及本单位的省指派留言存在超过截止时间未答复或答复内容质量不高，有推诿、敷衍等现象的，扣2分。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注：不足5条的则检查全部留言；市直单位频道仅考核第5点，县区不考核第5点。</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咨询答复</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模拟用户进行1次简单常见问题咨询：</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1.未在5个工作日内收到网上答复意见的，每发现一次，此项不得分；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2.答复内容质量不高，有推诿、敷衍等现象的，每发现一次，此项不得分。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tcBorders>
              <w:bottom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知识库</w:t>
            </w:r>
          </w:p>
        </w:tc>
        <w:tc>
          <w:tcPr>
            <w:tcW w:w="9435" w:type="dxa"/>
            <w:tcBorders>
              <w:bottom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1.未编制常见问题知识库的，此项不得分；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2.未按照业务进行合理分类的，扣1分；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3.每发现知识库一个主题超过一个月未更新的，扣1分。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注：市直单位网站（频道）无自主知识库则考核市门户知识库分工主题保障，无知识库分工则权重转移至“咨询答复”指标。</w:t>
            </w:r>
          </w:p>
        </w:tc>
        <w:tc>
          <w:tcPr>
            <w:tcW w:w="990" w:type="dxa"/>
            <w:tcBorders>
              <w:bottom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调查征集</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1.未提供在线调查征集渠道（不含电子邮件形式）的，本项不得分；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2.2023年开展活动未超过（含）6次的，扣1分；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3.2023年开展的调查征集活动未规范公开反馈结果的，每发现一次，扣1分，扣完为止。</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注：市直部门频道该项指标为1年内开展活动3次（含报送市门户网站调查征集栏目）。</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653" w:type="dxa"/>
            <w:vMerge w:val="restart"/>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功能设计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（10分）</w:t>
            </w: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域名名称</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1.网站</w:t>
            </w:r>
            <w:r>
              <w:rPr>
                <w:rFonts w:hint="default"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rPr>
              <w:t>频道</w:t>
            </w:r>
            <w:r>
              <w:rPr>
                <w:rFonts w:hint="default"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rPr>
              <w:t>域名和名称未按国办发〔2017〕47号及国办函〔2018〕55号要求规范设置的，此项不得分；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2.未在网站首页或其他页面头部标识区域显著展示网站（频道）全称的，此项不得分。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网站标识</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1.未在全站页面底部功能区清晰列明党政机关网站标识、网站标识码、ICP备案编号、公安机关备案标识、网站主办单位、联系方式的，此项不得分；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2.底部功能区列明内容信息与本单位网站实际信息不一致的，此项不得分。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站内搜索</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1.未提供全站站内搜索功能或功能不可用的，此项不得分；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2.随机选取4条网站已发布的信息或服务的标题进行测试，在搜索结果第一页无法找到该内容的，每条扣0.5分；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3.未对搜索结果进行分类展现的（如按照政策文件、办事指南等进行分类），扣1分。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页面标签</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1.随机抽查3个内容页面，无站点标签或内容标签的，每个扣0.5分，扣完为止；</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2.随机抽查3个栏目页面，无站点标签或栏目标签的，每个扣0.5分，扣完为止。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站点地图</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1.未提供站点地图对各栏目进行快速导航的，此项不得分；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2.发现链接不能跳转或不准确的，每发现一处扣0.5分，扣完为止。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tcBorders>
              <w:bottom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“我为政府网站找错”</w:t>
            </w:r>
          </w:p>
        </w:tc>
        <w:tc>
          <w:tcPr>
            <w:tcW w:w="9435" w:type="dxa"/>
            <w:tcBorders>
              <w:bottom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1.未在首页底部功能区规范添加“我为政府网站找错”入口的，此项不得分；未在其他页面底部功能区规范添加“我为政府网站找错”入口的，每发现一处扣0.5分，扣完为止；</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2.网民留言存在超过1个工作日未办结的或网民留言存在答复内容质量不高，有推诿、敷衍等现象的，每发现一条扣1分，扣完为止。</w:t>
            </w:r>
          </w:p>
        </w:tc>
        <w:tc>
          <w:tcPr>
            <w:tcW w:w="990" w:type="dxa"/>
            <w:tcBorders>
              <w:bottom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适配兼容</w:t>
            </w:r>
          </w:p>
        </w:tc>
        <w:tc>
          <w:tcPr>
            <w:tcW w:w="9435" w:type="dxa"/>
            <w:noWrap w:val="0"/>
            <w:vAlign w:val="center"/>
          </w:tcPr>
          <w:p>
            <w:pPr>
              <w:widowControl/>
              <w:numPr>
                <w:ilvl w:val="-1"/>
                <w:numId w:val="0"/>
              </w:numPr>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未建设移动适配，此项不得分；</w:t>
            </w:r>
          </w:p>
          <w:p>
            <w:pPr>
              <w:widowControl/>
              <w:numPr>
                <w:ilvl w:val="-1"/>
                <w:numId w:val="0"/>
              </w:numPr>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通过主流浏览器访问随机测试，出现页面显示异常（拉伸、变形、错位等情况），此项不得分。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IPV6</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未按照要求完成IPv6改造的，此项不得分。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trPr>
        <w:tc>
          <w:tcPr>
            <w:tcW w:w="1653" w:type="dxa"/>
            <w:vMerge w:val="restart"/>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bookmarkStart w:id="1" w:name="RANGE!B43"/>
            <w:r>
              <w:rPr>
                <w:rFonts w:hint="eastAsia" w:ascii="仿宋_GB2312" w:hAnsi="仿宋_GB2312" w:eastAsia="仿宋_GB2312" w:cs="仿宋_GB2312"/>
                <w:kern w:val="0"/>
                <w:sz w:val="32"/>
                <w:szCs w:val="32"/>
              </w:rPr>
              <w:t>政务新</w:t>
            </w:r>
          </w:p>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媒体</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（15分）</w:t>
            </w:r>
            <w:bookmarkEnd w:id="1"/>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开设规范</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1.单位在同一平台原则上只开设一个政务新媒体账号，未经市主管单位批准擅自超量开设的，此项不得分；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2.单位及内设机构出现未经市主管单位批准擅自开设政务新媒体的，此项不得分。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填报规范</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单位出现未及时动态更新维护政务新媒体报送系统信息（如上线、注销、联系人信息）的，此项不得分。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名称规范</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单位任一政务新媒体名称与主办单位工作职责不关联，此项不得分。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认证规范</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单位任一政务新媒体在公开认证信息中未标明主办单位名称，此项不得分。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内容更新</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根据本单位政务新媒体年度内市检查工作周报更新情况，每出现一次2周内无更新（不含微信服务号）扣1分，扣完为止。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内容发布</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随机抽查本单位政务新媒体的发布内容，发布“雷人雷语”“娱乐追星”、失真信息、商业广告等不当内容或随意转帖及正文直接发布超链接等，此项不得分。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留言审查</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随机抽查本单位政务新媒体的互动留言区，存在未做好公众留言审查发布工作，留言区出现不当言论的，发现则此项不得分。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互动回应</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随机抽查本单位政务新媒体的互动留言区，出现主观泄愤、回怼网民或回复出现专业性错误等情况的，发现则此项不得分。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关注对象</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随机抽查本单位政务新媒体的关注对象，存在关注娱乐明星、商业财经等政务工作无关类别对象，发现则此项不得分。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653" w:type="dxa"/>
            <w:vMerge w:val="continue"/>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功能可用性</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政务新媒体存在子栏目内容更新不及时、提供系统链接或栏目链接失效的，发现则此项不得分。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9" w:hRule="atLeast"/>
        </w:trPr>
        <w:tc>
          <w:tcPr>
            <w:tcW w:w="1653" w:type="dxa"/>
            <w:vMerge w:val="restart"/>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运维保障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（10分）</w:t>
            </w: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规范运维</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1.在国办、</w:t>
            </w:r>
            <w:r>
              <w:rPr>
                <w:rFonts w:hint="eastAsia" w:ascii="仿宋_GB2312" w:hAnsi="仿宋_GB2312" w:eastAsia="仿宋_GB2312" w:cs="仿宋_GB2312"/>
                <w:sz w:val="32"/>
                <w:szCs w:val="32"/>
              </w:rPr>
              <w:t>省府办开展的抽查中，如本地区本部门存在政府网站、政务新媒体被判定为不合格的，每发现一个，扣2分；出现问题被通报的，每发现一个，扣1分；</w:t>
            </w:r>
          </w:p>
          <w:p>
            <w:pPr>
              <w:widowControl/>
              <w:adjustRightInd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 在市政务服务数据管理局开展的抽查中，如本地区存在政府网站、政务新媒体被判定为不合格的，每发现一个，扣1分；出现问题被通报的，每发现一个，扣0.5分；</w:t>
            </w:r>
          </w:p>
          <w:p>
            <w:pPr>
              <w:widowControl/>
              <w:adjustRightInd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3. </w:t>
            </w:r>
            <w:r>
              <w:rPr>
                <w:rFonts w:hint="eastAsia" w:ascii="仿宋_GB2312" w:hAnsi="仿宋_GB2312" w:eastAsia="仿宋_GB2312" w:cs="仿宋_GB2312"/>
                <w:sz w:val="32"/>
                <w:szCs w:val="32"/>
              </w:rPr>
              <w:t>如本地区存在问题政府网站、政务新媒体，自通报公开之日起2周内未对问题进行整改，或整改不到位的，每发现一个，扣1分。</w:t>
            </w:r>
          </w:p>
          <w:p>
            <w:pPr>
              <w:pStyle w:val="3"/>
              <w:adjustRightInd w:val="0"/>
              <w:snapToGrid w:val="0"/>
              <w:spacing w:line="40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注：以上4项可重复扣分，扣完为止。</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trPr>
        <w:tc>
          <w:tcPr>
            <w:tcW w:w="1653" w:type="dxa"/>
            <w:vMerge w:val="continue"/>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信息保障</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_GB2312" w:eastAsia="仿宋_GB2312" w:cs="仿宋_GB2312"/>
                <w:sz w:val="32"/>
                <w:szCs w:val="32"/>
              </w:rPr>
              <w:t>揭阳市政府门户网站信息报送责任分工表</w:t>
            </w:r>
            <w:r>
              <w:rPr>
                <w:rFonts w:hint="eastAsia" w:ascii="仿宋_GB2312" w:hAnsi="仿宋_GB2312" w:eastAsia="仿宋_GB2312" w:cs="仿宋_GB2312"/>
                <w:kern w:val="0"/>
                <w:sz w:val="32"/>
                <w:szCs w:val="32"/>
              </w:rPr>
              <w:t>》（揭政数局函〔2023〕12号），</w:t>
            </w:r>
            <w:r>
              <w:rPr>
                <w:rFonts w:hint="eastAsia" w:ascii="仿宋_GB2312" w:hAnsi="仿宋_GB2312" w:eastAsia="仿宋_GB2312" w:cs="仿宋_GB2312"/>
                <w:sz w:val="32"/>
                <w:szCs w:val="32"/>
              </w:rPr>
              <w:t>单位对负责栏目内容保障不到位的，每发现一次扣</w:t>
            </w:r>
            <w:r>
              <w:rPr>
                <w:rFonts w:hint="eastAsia" w:ascii="仿宋_GB2312" w:hAnsi="仿宋_GB2312" w:eastAsia="仿宋_GB2312" w:cs="仿宋_GB2312"/>
                <w:kern w:val="0"/>
                <w:sz w:val="32"/>
                <w:szCs w:val="32"/>
              </w:rPr>
              <w:t>1分；单位对</w:t>
            </w:r>
            <w:r>
              <w:rPr>
                <w:rFonts w:hint="eastAsia" w:ascii="仿宋_GB2312" w:hAnsi="仿宋_GB2312" w:eastAsia="仿宋_GB2312" w:cs="仿宋_GB2312"/>
                <w:sz w:val="32"/>
                <w:szCs w:val="32"/>
              </w:rPr>
              <w:t>负责</w:t>
            </w:r>
            <w:r>
              <w:rPr>
                <w:rFonts w:hint="eastAsia" w:ascii="仿宋_GB2312" w:hAnsi="仿宋_GB2312" w:eastAsia="仿宋_GB2312" w:cs="仿宋_GB2312"/>
                <w:kern w:val="0"/>
                <w:sz w:val="32"/>
                <w:szCs w:val="32"/>
              </w:rPr>
              <w:t>栏目内容保障不力导致市门户网站在2022年省考评中扣分的，</w:t>
            </w:r>
            <w:r>
              <w:rPr>
                <w:rFonts w:hint="eastAsia" w:ascii="仿宋_GB2312" w:hAnsi="仿宋_GB2312" w:eastAsia="仿宋_GB2312" w:cs="仿宋_GB2312"/>
                <w:sz w:val="32"/>
                <w:szCs w:val="32"/>
              </w:rPr>
              <w:t>此项不得分。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trPr>
        <w:tc>
          <w:tcPr>
            <w:tcW w:w="1653" w:type="dxa"/>
            <w:vMerge w:val="continue"/>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p>
        </w:tc>
        <w:tc>
          <w:tcPr>
            <w:tcW w:w="216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安全保障</w:t>
            </w:r>
          </w:p>
        </w:tc>
        <w:tc>
          <w:tcPr>
            <w:tcW w:w="9435" w:type="dxa"/>
            <w:noWrap w:val="0"/>
            <w:vAlign w:val="center"/>
          </w:tcPr>
          <w:p>
            <w:pPr>
              <w:widowControl/>
              <w:adjustRightInd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1.未按照《揭阳市政府网站集约化分平台账号及权限动态管理办法（试行）》要求及时向市政务服务数据管理局报送本地区本部门账号统计表的，每发现一次扣1分；</w:t>
            </w:r>
          </w:p>
          <w:p>
            <w:pPr>
              <w:pStyle w:val="3"/>
              <w:adjustRightInd w:val="0"/>
              <w:snapToGrid w:val="0"/>
              <w:spacing w:line="40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2.本年度出现网络安全（含业务系统等）问题或未及时反馈整改情况的，每出现一次扣1分。</w:t>
            </w:r>
          </w:p>
        </w:tc>
        <w:tc>
          <w:tcPr>
            <w:tcW w:w="990" w:type="dxa"/>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bl>
    <w:p>
      <w:pPr>
        <w:spacing w:before="156" w:beforeLines="50" w:after="156" w:afterLines="50" w:line="400" w:lineRule="exact"/>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黑体"/>
          <w:color w:val="000000"/>
          <w:sz w:val="32"/>
          <w:szCs w:val="32"/>
        </w:rPr>
        <w:t>三、引导性指标（25分）</w:t>
      </w:r>
    </w:p>
    <w:tbl>
      <w:tblPr>
        <w:tblStyle w:val="6"/>
        <w:tblW w:w="14160" w:type="dxa"/>
        <w:tblInd w:w="0" w:type="dxa"/>
        <w:tblLayout w:type="fixed"/>
        <w:tblCellMar>
          <w:top w:w="0" w:type="dxa"/>
          <w:left w:w="108" w:type="dxa"/>
          <w:bottom w:w="0" w:type="dxa"/>
          <w:right w:w="108" w:type="dxa"/>
        </w:tblCellMar>
      </w:tblPr>
      <w:tblGrid>
        <w:gridCol w:w="1575"/>
        <w:gridCol w:w="1575"/>
        <w:gridCol w:w="10095"/>
        <w:gridCol w:w="915"/>
      </w:tblGrid>
      <w:tr>
        <w:tblPrEx>
          <w:tblCellMar>
            <w:top w:w="0" w:type="dxa"/>
            <w:left w:w="108" w:type="dxa"/>
            <w:bottom w:w="0" w:type="dxa"/>
            <w:right w:w="108" w:type="dxa"/>
          </w:tblCellMar>
        </w:tblPrEx>
        <w:trPr>
          <w:cantSplit/>
          <w:trHeight w:val="525" w:hRule="atLeast"/>
          <w:tblHeader/>
        </w:trPr>
        <w:tc>
          <w:tcPr>
            <w:tcW w:w="157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一级指标</w:t>
            </w:r>
          </w:p>
        </w:tc>
        <w:tc>
          <w:tcPr>
            <w:tcW w:w="1575" w:type="dxa"/>
            <w:tcBorders>
              <w:top w:val="single" w:color="auto" w:sz="4" w:space="0"/>
              <w:left w:val="nil"/>
              <w:bottom w:val="single" w:color="auto" w:sz="4" w:space="0"/>
              <w:right w:val="single" w:color="auto" w:sz="4" w:space="0"/>
            </w:tcBorders>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二级指标</w:t>
            </w:r>
          </w:p>
        </w:tc>
        <w:tc>
          <w:tcPr>
            <w:tcW w:w="10095" w:type="dxa"/>
            <w:tcBorders>
              <w:top w:val="single" w:color="auto" w:sz="4" w:space="0"/>
              <w:left w:val="nil"/>
              <w:bottom w:val="single" w:color="auto" w:sz="4" w:space="0"/>
              <w:right w:val="single" w:color="auto" w:sz="4" w:space="0"/>
            </w:tcBorders>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评分细则</w:t>
            </w:r>
          </w:p>
        </w:tc>
        <w:tc>
          <w:tcPr>
            <w:tcW w:w="915" w:type="dxa"/>
            <w:tcBorders>
              <w:top w:val="single" w:color="auto" w:sz="4" w:space="0"/>
              <w:left w:val="nil"/>
              <w:bottom w:val="single" w:color="auto" w:sz="4" w:space="0"/>
              <w:right w:val="single" w:color="auto" w:sz="4" w:space="0"/>
            </w:tcBorders>
            <w:shd w:val="clear" w:color="auto" w:fill="D9D9D9"/>
            <w:noWrap w:val="0"/>
            <w:vAlign w:val="center"/>
          </w:tcPr>
          <w:p>
            <w:pPr>
              <w:widowControl/>
              <w:adjustRightInd w:val="0"/>
              <w:snapToGrid w:val="0"/>
              <w:spacing w:line="40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分值</w:t>
            </w:r>
          </w:p>
        </w:tc>
      </w:tr>
      <w:tr>
        <w:tblPrEx>
          <w:tblCellMar>
            <w:top w:w="0" w:type="dxa"/>
            <w:left w:w="108" w:type="dxa"/>
            <w:bottom w:w="0" w:type="dxa"/>
            <w:right w:w="108" w:type="dxa"/>
          </w:tblCellMar>
        </w:tblPrEx>
        <w:trPr>
          <w:cantSplit/>
          <w:trHeight w:val="990" w:hRule="atLeast"/>
        </w:trPr>
        <w:tc>
          <w:tcPr>
            <w:tcW w:w="1575"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bookmarkStart w:id="2" w:name="RANGE!C4"/>
            <w:r>
              <w:rPr>
                <w:rFonts w:hint="eastAsia" w:ascii="仿宋_GB2312" w:hAnsi="仿宋_GB2312" w:eastAsia="仿宋_GB2312" w:cs="仿宋_GB2312"/>
                <w:kern w:val="0"/>
                <w:sz w:val="32"/>
                <w:szCs w:val="32"/>
              </w:rPr>
              <w:t>运维保障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（8分）</w:t>
            </w:r>
            <w:bookmarkEnd w:id="2"/>
          </w:p>
        </w:tc>
        <w:tc>
          <w:tcPr>
            <w:tcW w:w="157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内容保障</w:t>
            </w:r>
          </w:p>
        </w:tc>
        <w:tc>
          <w:tcPr>
            <w:tcW w:w="10095" w:type="dxa"/>
            <w:tcBorders>
              <w:top w:val="nil"/>
              <w:left w:val="nil"/>
              <w:bottom w:val="single" w:color="auto" w:sz="4" w:space="0"/>
              <w:right w:val="single" w:color="auto" w:sz="4" w:space="0"/>
            </w:tcBorders>
            <w:noWrap w:val="0"/>
            <w:vAlign w:val="center"/>
          </w:tcPr>
          <w:p>
            <w:pPr>
              <w:widowControl/>
              <w:numPr>
                <w:ilvl w:val="-1"/>
                <w:numId w:val="0"/>
              </w:numPr>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政府网站（频道）与政务新媒体年度内未出现错敏字情况的，加2分；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2.政府网站（频道）与政务新媒体年度内未出现不良外链与信息泄露情况的，加2分。</w:t>
            </w:r>
          </w:p>
        </w:tc>
        <w:tc>
          <w:tcPr>
            <w:tcW w:w="91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r>
      <w:tr>
        <w:tblPrEx>
          <w:tblCellMar>
            <w:top w:w="0" w:type="dxa"/>
            <w:left w:w="108" w:type="dxa"/>
            <w:bottom w:w="0" w:type="dxa"/>
            <w:right w:w="108" w:type="dxa"/>
          </w:tblCellMar>
        </w:tblPrEx>
        <w:trPr>
          <w:cantSplit/>
          <w:trHeight w:val="1340" w:hRule="atLeast"/>
        </w:trPr>
        <w:tc>
          <w:tcPr>
            <w:tcW w:w="157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157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上级通报</w:t>
            </w:r>
          </w:p>
        </w:tc>
        <w:tc>
          <w:tcPr>
            <w:tcW w:w="1009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1.政府网站（频道）与政务新媒体年度内在国办以及省府办开展的抽查工作中未出现涉及通报情况的，加2分；</w:t>
            </w:r>
          </w:p>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2.政府网站（频道）与政务新媒体年度内在市</w:t>
            </w:r>
            <w:r>
              <w:rPr>
                <w:rFonts w:hint="eastAsia" w:ascii="仿宋_GB2312" w:hAnsi="仿宋_GB2312" w:eastAsia="仿宋_GB2312" w:cs="仿宋_GB2312"/>
                <w:sz w:val="32"/>
                <w:szCs w:val="32"/>
              </w:rPr>
              <w:t>政务服务数据管理局的</w:t>
            </w:r>
            <w:r>
              <w:rPr>
                <w:rFonts w:hint="eastAsia" w:ascii="仿宋_GB2312" w:hAnsi="仿宋_GB2312" w:eastAsia="仿宋_GB2312" w:cs="仿宋_GB2312"/>
                <w:kern w:val="0"/>
                <w:sz w:val="32"/>
                <w:szCs w:val="32"/>
              </w:rPr>
              <w:t>季/月/周检查工作中均未出现不合格的，加2分。</w:t>
            </w:r>
          </w:p>
        </w:tc>
        <w:tc>
          <w:tcPr>
            <w:tcW w:w="91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r>
      <w:tr>
        <w:tblPrEx>
          <w:tblCellMar>
            <w:top w:w="0" w:type="dxa"/>
            <w:left w:w="108" w:type="dxa"/>
            <w:bottom w:w="0" w:type="dxa"/>
            <w:right w:w="108" w:type="dxa"/>
          </w:tblCellMar>
        </w:tblPrEx>
        <w:trPr>
          <w:cantSplit/>
          <w:trHeight w:val="685" w:hRule="atLeast"/>
        </w:trPr>
        <w:tc>
          <w:tcPr>
            <w:tcW w:w="1575"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信息内容（7分）</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解读回应</w:t>
            </w:r>
          </w:p>
        </w:tc>
        <w:tc>
          <w:tcPr>
            <w:tcW w:w="1009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line="4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本年度网站（频道）已发布的以本地区（含各下级部门）或本部门名义印发的政策文件原创解读稿，通过新闻发布会、图表图解、音视频或动漫等多元化解读的比例达100%的，加2分。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line="40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2</w:t>
            </w:r>
          </w:p>
        </w:tc>
      </w:tr>
      <w:tr>
        <w:tblPrEx>
          <w:tblCellMar>
            <w:top w:w="0" w:type="dxa"/>
            <w:left w:w="108" w:type="dxa"/>
            <w:bottom w:w="0" w:type="dxa"/>
            <w:right w:w="108" w:type="dxa"/>
          </w:tblCellMar>
        </w:tblPrEx>
        <w:trPr>
          <w:cantSplit/>
          <w:trHeight w:val="90" w:hRule="atLeast"/>
        </w:trPr>
        <w:tc>
          <w:tcPr>
            <w:tcW w:w="1575" w:type="dxa"/>
            <w:vMerge w:val="continue"/>
            <w:tcBorders>
              <w:left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重点服务</w:t>
            </w:r>
          </w:p>
        </w:tc>
        <w:tc>
          <w:tcPr>
            <w:tcW w:w="100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针对重点服务事项，整合相关资源，细化办理对象、条件、流程等，提供专题或集成服务。提供3项及以上的，加2分；提供1至2项的，加1分。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CellMar>
            <w:top w:w="0" w:type="dxa"/>
            <w:left w:w="108" w:type="dxa"/>
            <w:bottom w:w="0" w:type="dxa"/>
            <w:right w:w="108" w:type="dxa"/>
          </w:tblCellMar>
        </w:tblPrEx>
        <w:trPr>
          <w:cantSplit/>
          <w:trHeight w:val="840" w:hRule="atLeast"/>
        </w:trPr>
        <w:tc>
          <w:tcPr>
            <w:tcW w:w="1575" w:type="dxa"/>
            <w:vMerge w:val="continue"/>
            <w:tcBorders>
              <w:left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协同联动</w:t>
            </w:r>
          </w:p>
        </w:tc>
        <w:tc>
          <w:tcPr>
            <w:tcW w:w="100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本单位政务新媒体与网站协同发布同源内容，如重要政策解读、民意征集活动在政务新媒体同步发声，加1分。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CellMar>
            <w:top w:w="0" w:type="dxa"/>
            <w:left w:w="108" w:type="dxa"/>
            <w:bottom w:w="0" w:type="dxa"/>
            <w:right w:w="108" w:type="dxa"/>
          </w:tblCellMar>
        </w:tblPrEx>
        <w:trPr>
          <w:cantSplit/>
          <w:trHeight w:val="275" w:hRule="atLeast"/>
        </w:trPr>
        <w:tc>
          <w:tcPr>
            <w:tcW w:w="157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精品栏目</w:t>
            </w:r>
          </w:p>
        </w:tc>
        <w:tc>
          <w:tcPr>
            <w:tcW w:w="100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考核各网站整合网站信息资源，以人性化、喜闻乐见的方式设计并打造特色精品栏目的情况。</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CellMar>
            <w:top w:w="0" w:type="dxa"/>
            <w:left w:w="108" w:type="dxa"/>
            <w:bottom w:w="0" w:type="dxa"/>
            <w:right w:w="108" w:type="dxa"/>
          </w:tblCellMar>
        </w:tblPrEx>
        <w:trPr>
          <w:cantSplit/>
          <w:trHeight w:val="1350" w:hRule="atLeast"/>
        </w:trPr>
        <w:tc>
          <w:tcPr>
            <w:tcW w:w="15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功能设计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（6分）</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智能搜索</w:t>
            </w:r>
          </w:p>
        </w:tc>
        <w:tc>
          <w:tcPr>
            <w:tcW w:w="100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1.提供关键词模糊搜索功能（如错别字自动纠正、关键词推荐、拼音转化搜索和通俗语言搜索）的，加1分；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2.根据搜索关键词聚合相关信息和服务功能，实现“搜索即服务”的，加1分。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CellMar>
            <w:top w:w="0" w:type="dxa"/>
            <w:left w:w="108" w:type="dxa"/>
            <w:bottom w:w="0" w:type="dxa"/>
            <w:right w:w="108" w:type="dxa"/>
          </w:tblCellMar>
        </w:tblPrEx>
        <w:trPr>
          <w:cantSplit/>
          <w:trHeight w:val="934" w:hRule="atLeast"/>
        </w:trPr>
        <w:tc>
          <w:tcPr>
            <w:tcW w:w="1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智能推荐</w:t>
            </w:r>
          </w:p>
        </w:tc>
        <w:tc>
          <w:tcPr>
            <w:tcW w:w="100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定期分析办事服务热点、咨询投诉热点问题在网站（频道）首页及时推荐热点办事服务、热点政策措施的，加2分。</w:t>
            </w:r>
          </w:p>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注：智能推荐功能不可用或不同用户群体登录时推荐相同内容的不加分。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CellMar>
            <w:top w:w="0" w:type="dxa"/>
            <w:left w:w="108" w:type="dxa"/>
            <w:bottom w:w="0" w:type="dxa"/>
            <w:right w:w="108" w:type="dxa"/>
          </w:tblCellMar>
        </w:tblPrEx>
        <w:trPr>
          <w:cantSplit/>
          <w:trHeight w:val="844" w:hRule="atLeast"/>
        </w:trPr>
        <w:tc>
          <w:tcPr>
            <w:tcW w:w="15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适老化改造</w:t>
            </w:r>
          </w:p>
        </w:tc>
        <w:tc>
          <w:tcPr>
            <w:tcW w:w="100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按要求完成适老化改造服务（以通过测评被授予信息无障碍标识为准）的网站或新媒体加2分。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CellMar>
            <w:top w:w="0" w:type="dxa"/>
            <w:left w:w="108" w:type="dxa"/>
            <w:bottom w:w="0" w:type="dxa"/>
            <w:right w:w="108" w:type="dxa"/>
          </w:tblCellMar>
        </w:tblPrEx>
        <w:trPr>
          <w:cantSplit/>
          <w:trHeight w:val="820" w:hRule="atLeast"/>
        </w:trPr>
        <w:tc>
          <w:tcPr>
            <w:tcW w:w="1575"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互动交流</w:t>
            </w:r>
          </w:p>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（4分）</w:t>
            </w:r>
          </w:p>
        </w:tc>
        <w:tc>
          <w:tcPr>
            <w:tcW w:w="157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实时互动</w:t>
            </w:r>
          </w:p>
        </w:tc>
        <w:tc>
          <w:tcPr>
            <w:tcW w:w="1009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模拟用户进行1次简单常见问题咨询：咨询后一个工作日内答复且内容准确的，加1分。</w:t>
            </w:r>
          </w:p>
        </w:tc>
        <w:tc>
          <w:tcPr>
            <w:tcW w:w="91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r>
      <w:tr>
        <w:tblPrEx>
          <w:tblCellMar>
            <w:top w:w="0" w:type="dxa"/>
            <w:left w:w="108" w:type="dxa"/>
            <w:bottom w:w="0" w:type="dxa"/>
            <w:right w:w="108" w:type="dxa"/>
          </w:tblCellMar>
        </w:tblPrEx>
        <w:trPr>
          <w:cantSplit/>
          <w:trHeight w:val="1050" w:hRule="atLeast"/>
        </w:trPr>
        <w:tc>
          <w:tcPr>
            <w:tcW w:w="1575" w:type="dxa"/>
            <w:vMerge w:val="continue"/>
            <w:tcBorders>
              <w:left w:val="single" w:color="auto" w:sz="4" w:space="0"/>
              <w:right w:val="single" w:color="auto" w:sz="4" w:space="0"/>
            </w:tcBorders>
            <w:noWrap w:val="0"/>
            <w:vAlign w:val="top"/>
          </w:tcPr>
          <w:p>
            <w:pPr>
              <w:widowControl/>
              <w:adjustRightInd w:val="0"/>
              <w:snapToGrid w:val="0"/>
              <w:spacing w:line="400" w:lineRule="exact"/>
              <w:jc w:val="center"/>
              <w:rPr>
                <w:rFonts w:hint="eastAsia" w:ascii="仿宋_GB2312" w:hAnsi="仿宋_GB2312" w:eastAsia="仿宋_GB2312" w:cs="仿宋_GB2312"/>
                <w:kern w:val="0"/>
                <w:sz w:val="32"/>
                <w:szCs w:val="32"/>
              </w:rPr>
            </w:pPr>
          </w:p>
        </w:tc>
        <w:tc>
          <w:tcPr>
            <w:tcW w:w="157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智能问答</w:t>
            </w:r>
          </w:p>
        </w:tc>
        <w:tc>
          <w:tcPr>
            <w:tcW w:w="1009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1.提供智能问答服务功能，经模拟用户测试答复准确的，加1分；</w:t>
            </w:r>
          </w:p>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2.实现智能提示、拼音理解、错别字识别、复杂意图理解、智能联想等功能的，加1分。</w:t>
            </w:r>
          </w:p>
        </w:tc>
        <w:tc>
          <w:tcPr>
            <w:tcW w:w="915" w:type="dxa"/>
            <w:tcBorders>
              <w:top w:val="nil"/>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r>
      <w:tr>
        <w:tblPrEx>
          <w:tblCellMar>
            <w:top w:w="0" w:type="dxa"/>
            <w:left w:w="108" w:type="dxa"/>
            <w:bottom w:w="0" w:type="dxa"/>
            <w:right w:w="108" w:type="dxa"/>
          </w:tblCellMar>
        </w:tblPrEx>
        <w:trPr>
          <w:cantSplit/>
          <w:trHeight w:val="857" w:hRule="atLeast"/>
        </w:trPr>
        <w:tc>
          <w:tcPr>
            <w:tcW w:w="157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400" w:lineRule="exact"/>
              <w:rPr>
                <w:rFonts w:hint="eastAsia" w:ascii="仿宋_GB2312" w:hAnsi="仿宋_GB2312" w:eastAsia="仿宋_GB2312" w:cs="仿宋_GB2312"/>
                <w:kern w:val="0"/>
                <w:sz w:val="32"/>
                <w:szCs w:val="32"/>
              </w:rPr>
            </w:pPr>
          </w:p>
        </w:tc>
        <w:tc>
          <w:tcPr>
            <w:tcW w:w="157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在线访谈</w:t>
            </w:r>
          </w:p>
        </w:tc>
        <w:tc>
          <w:tcPr>
            <w:tcW w:w="1009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年度内本地区（部门）主要领导参加门户网站在线访谈（部门上线市“行风热线”直播室），并通过文字、照片、视频发布访谈内容的，加1分。</w:t>
            </w:r>
          </w:p>
        </w:tc>
        <w:tc>
          <w:tcPr>
            <w:tcW w:w="91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1</w:t>
            </w:r>
          </w:p>
        </w:tc>
      </w:tr>
    </w:tbl>
    <w:p>
      <w:pPr>
        <w:pStyle w:val="2"/>
        <w:rPr>
          <w:rFonts w:hint="eastAsia"/>
        </w:rPr>
        <w:sectPr>
          <w:footerReference r:id="rId7" w:type="default"/>
          <w:pgSz w:w="16838" w:h="11906" w:orient="landscape"/>
          <w:pgMar w:top="1803" w:right="1440" w:bottom="1803" w:left="1440" w:header="1247" w:footer="1247" w:gutter="0"/>
          <w:pgNumType w:fmt="numberInDash" w:start="15"/>
          <w:cols w:space="0" w:num="1"/>
          <w:rtlGutter w:val="0"/>
          <w:docGrid w:type="lines" w:linePitch="312" w:charSpace="0"/>
        </w:sect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“揭阳市政府网站监管平台”操作说明</w:t>
      </w:r>
    </w:p>
    <w:p>
      <w:pPr>
        <w:spacing w:line="56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一、两码登录。</w:t>
      </w:r>
      <w:r>
        <w:rPr>
          <w:rFonts w:hint="eastAsia" w:ascii="仿宋_GB2312" w:hAnsi="仿宋_GB2312" w:eastAsia="仿宋_GB2312" w:cs="仿宋_GB2312"/>
          <w:sz w:val="32"/>
          <w:szCs w:val="32"/>
        </w:rPr>
        <w:t>考评单位用标识码和校验码以填报单位身份登录“揭阳市政府网站监管平台”（开普云监管https://datais.ucap.com.cn/）。如两码遗失，应及时与市政务服务数据管理局联系获取。</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二、自查自评。</w:t>
      </w:r>
      <w:r>
        <w:rPr>
          <w:rFonts w:hint="eastAsia" w:ascii="仿宋_GB2312" w:hAnsi="仿宋_GB2312" w:eastAsia="仿宋_GB2312" w:cs="仿宋_GB2312"/>
          <w:sz w:val="32"/>
          <w:szCs w:val="32"/>
        </w:rPr>
        <w:t>考评单位于自查自评阶段登录平台后，点击“上级考评”，按照考评任务在规定期限内在线填报自评信息，自评表提交后不可更改。</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s="宋体"/>
          <w:sz w:val="32"/>
          <w:szCs w:val="32"/>
          <w:lang w:val="en-US" w:eastAsia="zh-CN"/>
        </w:rPr>
      </w:pPr>
      <w:r>
        <w:rPr>
          <w:rFonts w:hint="eastAsia" w:ascii="黑体" w:hAnsi="黑体" w:eastAsia="黑体" w:cs="黑体"/>
          <w:sz w:val="32"/>
          <w:szCs w:val="32"/>
        </w:rPr>
        <w:t>三、注意事项。</w:t>
      </w:r>
      <w:r>
        <w:rPr>
          <w:rFonts w:hint="eastAsia" w:ascii="仿宋_GB2312" w:hAnsi="仿宋_GB2312" w:eastAsia="仿宋_GB2312" w:cs="仿宋_GB2312"/>
          <w:sz w:val="32"/>
          <w:szCs w:val="32"/>
        </w:rPr>
        <w:t>填报自评表时应准确、全面，否则将影响年终评分工作，逾期在线不填报的单位网站将直接记为不合格等次上报市政府</w:t>
      </w:r>
      <w:r>
        <w:rPr>
          <w:rFonts w:hint="default" w:ascii="仿宋_GB2312" w:hAnsi="仿宋_GB2312" w:eastAsia="仿宋_GB2312" w:cs="仿宋_GB2312"/>
          <w:sz w:val="32"/>
          <w:szCs w:val="32"/>
          <w:lang w:val="en"/>
        </w:rPr>
        <w:t>。</w:t>
      </w:r>
    </w:p>
    <w:p>
      <w:pPr>
        <w:pStyle w:val="2"/>
        <w:rPr>
          <w:rFonts w:hint="default" w:ascii="宋体" w:hAnsi="宋体" w:cs="宋体"/>
          <w:sz w:val="32"/>
          <w:szCs w:val="32"/>
          <w:lang w:val="en-US" w:eastAsia="zh-CN"/>
        </w:rPr>
      </w:pPr>
    </w:p>
    <w:p>
      <w:pPr>
        <w:pStyle w:val="2"/>
        <w:rPr>
          <w:rFonts w:hint="default" w:ascii="宋体" w:hAnsi="宋体" w:cs="宋体"/>
          <w:sz w:val="32"/>
          <w:szCs w:val="32"/>
          <w:lang w:val="en-US" w:eastAsia="zh-CN"/>
        </w:rPr>
      </w:pPr>
    </w:p>
    <w:p>
      <w:pPr>
        <w:pStyle w:val="2"/>
        <w:rPr>
          <w:rFonts w:hint="default" w:ascii="宋体" w:hAnsi="宋体" w:cs="宋体"/>
          <w:sz w:val="32"/>
          <w:szCs w:val="32"/>
          <w:lang w:val="en-US" w:eastAsia="zh-CN"/>
        </w:rPr>
      </w:pPr>
    </w:p>
    <w:p>
      <w:pPr>
        <w:pStyle w:val="2"/>
        <w:rPr>
          <w:rFonts w:hint="default" w:ascii="宋体" w:hAnsi="宋体" w:cs="宋体"/>
          <w:sz w:val="32"/>
          <w:szCs w:val="32"/>
          <w:lang w:val="en-US" w:eastAsia="zh-CN"/>
        </w:rPr>
      </w:pPr>
    </w:p>
    <w:p>
      <w:pPr>
        <w:pStyle w:val="2"/>
        <w:rPr>
          <w:rFonts w:hint="default" w:ascii="宋体" w:hAnsi="宋体" w:cs="宋体"/>
          <w:sz w:val="32"/>
          <w:szCs w:val="32"/>
          <w:lang w:val="en-US" w:eastAsia="zh-CN"/>
        </w:rPr>
      </w:pPr>
    </w:p>
    <w:p>
      <w:pPr>
        <w:pStyle w:val="2"/>
        <w:rPr>
          <w:rFonts w:hint="default" w:ascii="宋体" w:hAnsi="宋体" w:cs="宋体"/>
          <w:sz w:val="32"/>
          <w:szCs w:val="32"/>
          <w:lang w:val="en-US" w:eastAsia="zh-CN"/>
        </w:rPr>
      </w:pPr>
    </w:p>
    <w:p>
      <w:pPr>
        <w:pStyle w:val="2"/>
        <w:rPr>
          <w:rFonts w:hint="default" w:ascii="宋体" w:hAnsi="宋体" w:cs="宋体"/>
          <w:sz w:val="32"/>
          <w:szCs w:val="32"/>
          <w:lang w:val="en-US" w:eastAsia="zh-CN"/>
        </w:rPr>
      </w:pPr>
    </w:p>
    <w:p>
      <w:pPr>
        <w:pStyle w:val="2"/>
        <w:rPr>
          <w:rFonts w:hint="default" w:ascii="宋体" w:hAnsi="宋体" w:cs="宋体"/>
          <w:sz w:val="32"/>
          <w:szCs w:val="32"/>
          <w:lang w:val="en-US" w:eastAsia="zh-CN"/>
        </w:rPr>
        <w:sectPr>
          <w:headerReference r:id="rId9" w:type="first"/>
          <w:footerReference r:id="rId12" w:type="first"/>
          <w:headerReference r:id="rId8" w:type="default"/>
          <w:footerReference r:id="rId10" w:type="default"/>
          <w:footerReference r:id="rId11" w:type="even"/>
          <w:pgSz w:w="11906" w:h="16838"/>
          <w:pgMar w:top="2098" w:right="1418" w:bottom="1588" w:left="1531" w:header="851" w:footer="1191" w:gutter="0"/>
          <w:pgNumType w:fmt="numberInDash"/>
          <w:cols w:space="720" w:num="1"/>
          <w:titlePg/>
          <w:docGrid w:type="lines" w:linePitch="312" w:charSpace="0"/>
        </w:sectPr>
      </w:pPr>
    </w:p>
    <w:p>
      <w:pPr>
        <w:pStyle w:val="2"/>
        <w:rPr>
          <w:rFonts w:hint="default" w:ascii="宋体" w:hAnsi="宋体" w:cs="宋体"/>
          <w:sz w:val="32"/>
          <w:szCs w:val="32"/>
          <w:lang w:val="en-US" w:eastAsia="zh-CN"/>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hint="eastAsia" w:ascii="黑体" w:hAnsi="黑体" w:eastAsia="黑体"/>
          <w:sz w:val="32"/>
        </w:rPr>
      </w:pPr>
    </w:p>
    <w:p>
      <w:pPr>
        <w:autoSpaceDN w:val="0"/>
        <w:spacing w:after="312" w:afterLines="100" w:line="560" w:lineRule="exact"/>
        <w:rPr>
          <w:rFonts w:ascii="仿宋_GB2312" w:hAnsi="仿宋_GB2312" w:eastAsia="仿宋_GB2312"/>
          <w:spacing w:val="-10"/>
          <w:sz w:val="28"/>
        </w:rPr>
      </w:pPr>
      <w:r>
        <w:rPr>
          <w:rFonts w:hint="eastAsia" w:ascii="黑体" w:hAnsi="黑体" w:eastAsia="黑体"/>
          <w:sz w:val="32"/>
        </w:rPr>
        <w:t>公开方式：</w:t>
      </w:r>
      <w:r>
        <w:rPr>
          <w:rFonts w:hint="default" w:ascii="仿宋_GB2312" w:hAnsi="仿宋_GB2312" w:eastAsia="仿宋_GB2312"/>
          <w:sz w:val="32"/>
          <w:lang w:val="en" w:eastAsia="zh-CN"/>
        </w:rPr>
        <w:t>主动</w:t>
      </w:r>
      <w:r>
        <w:rPr>
          <w:rFonts w:hint="eastAsia" w:ascii="仿宋_GB2312" w:hAnsi="仿宋_GB2312" w:eastAsia="仿宋_GB2312"/>
          <w:sz w:val="32"/>
        </w:rPr>
        <w:t>公开</w:t>
      </w:r>
    </w:p>
    <w:p>
      <w:pPr>
        <w:spacing w:line="520" w:lineRule="exact"/>
        <w:ind w:left="883" w:leftChars="111" w:hanging="650" w:hangingChars="250"/>
        <w:rPr>
          <w:rFonts w:hint="default" w:ascii="宋体" w:hAnsi="宋体" w:cs="宋体"/>
          <w:sz w:val="32"/>
          <w:szCs w:val="32"/>
          <w:lang w:val="en-US" w:eastAsia="zh-CN"/>
        </w:rPr>
      </w:pPr>
      <w:r>
        <w:rPr>
          <w:rFonts w:hint="eastAsia" w:ascii="仿宋_GB2312" w:hAnsi="仿宋_GB2312" w:eastAsia="仿宋_GB2312"/>
          <w:spacing w:val="-10"/>
          <w:sz w:val="28"/>
        </w:rPr>
        <w:t>抄送：</w:t>
      </w:r>
      <w:r>
        <w:rPr>
          <w:rFonts w:hint="eastAsia" w:ascii="仿宋_GB2312" w:hAnsi="仿宋_GB2312" w:eastAsia="仿宋_GB2312"/>
          <w:sz w:val="28"/>
        </w:rPr>
        <w:t>市委有关部委办，市人大常委会办公室，市政协办公室，市纪委办公室，</w:t>
      </w:r>
      <w:r>
        <w:rPr>
          <w:rFonts w:hint="default" w:ascii="仿宋_GB2312" w:hAnsi="仿宋_GB2312" w:eastAsia="仿宋_GB2312"/>
          <w:sz w:val="28"/>
          <w:lang w:val="en"/>
        </w:rPr>
        <w:t>市法院、检察院，揭阳军分区，各</w:t>
      </w:r>
      <w:r>
        <w:rPr>
          <w:rFonts w:hint="eastAsia" w:ascii="仿宋_GB2312" w:hAnsi="仿宋_GB2312" w:eastAsia="仿宋_GB2312"/>
          <w:sz w:val="28"/>
        </w:rPr>
        <w:t>人民团体，</w:t>
      </w:r>
      <w:r>
        <w:rPr>
          <w:rFonts w:hint="default" w:ascii="仿宋_GB2312" w:hAnsi="仿宋_GB2312" w:eastAsia="仿宋_GB2312"/>
          <w:sz w:val="28"/>
          <w:lang w:val="en"/>
        </w:rPr>
        <w:t>各新闻单位，</w:t>
      </w:r>
      <w:r>
        <w:rPr>
          <w:rFonts w:hint="eastAsia" w:ascii="仿宋_GB2312" w:hAnsi="仿宋_GB2312" w:eastAsia="仿宋_GB2312"/>
          <w:sz w:val="28"/>
        </w:rPr>
        <w:t>中央、省驻揭</w:t>
      </w:r>
      <w:r>
        <w:rPr>
          <w:rFonts w:hint="default" w:ascii="仿宋_GB2312" w:hAnsi="仿宋_GB2312" w:eastAsia="仿宋_GB2312"/>
          <w:sz w:val="28"/>
          <w:lang w:val="en"/>
        </w:rPr>
        <w:t>各</w:t>
      </w:r>
      <w:r>
        <w:rPr>
          <w:rFonts w:hint="eastAsia" w:ascii="仿宋_GB2312" w:hAnsi="仿宋_GB2312" w:eastAsia="仿宋_GB2312"/>
          <w:sz w:val="28"/>
        </w:rPr>
        <w:t>单位。</w:t>
      </w:r>
    </w:p>
    <w:p>
      <w:bookmarkStart w:id="3" w:name="_GoBack"/>
      <w:bookmarkEnd w:id="3"/>
    </w:p>
    <w:sectPr>
      <w:footerReference r:id="rId14" w:type="first"/>
      <w:footerReference r:id="rId13" w:type="default"/>
      <w:pgSz w:w="11906" w:h="16838"/>
      <w:pgMar w:top="2098" w:right="1418" w:bottom="1588" w:left="1531" w:header="851" w:footer="119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76885" cy="24701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476885" cy="247015"/>
                      </a:xfrm>
                      <a:prstGeom prst="rect">
                        <a:avLst/>
                      </a:prstGeom>
                      <a:noFill/>
                      <a:ln>
                        <a:noFill/>
                      </a:ln>
                      <a:effectLst/>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9.45pt;width:37.55pt;mso-position-horizontal:outside;mso-position-horizontal-relative:margin;mso-wrap-style:none;z-index:251661312;mso-width-relative:page;mso-height-relative:page;" filled="f" stroked="f" coordsize="21600,21600" o:gfxdata="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ZeuRNEAAAADAQAADwAAAAAAAAABACAAAAAi&#10;AAAAZHJzL2Rvd25yZXYueG1sUEsBAhQAFAAAAAgAh07iQDkzrugRAgAAEgQAAA4AAAAAAAAAAQAg&#10;AAAAIAEAAGRycy9lMm9Eb2MueG1sUEsFBgAAAAAGAAYAWQEAAKM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76885" cy="247015"/>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476885" cy="247015"/>
                      </a:xfrm>
                      <a:prstGeom prst="rect">
                        <a:avLst/>
                      </a:prstGeom>
                      <a:noFill/>
                      <a:ln>
                        <a:noFill/>
                      </a:ln>
                      <a:effectLst/>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9.45pt;width:37.55pt;mso-position-horizontal:center;mso-position-horizontal-relative:margin;mso-wrap-style:none;z-index:251664384;mso-width-relative:page;mso-height-relative:page;" filled="f" stroked="f" coordsize="21600,21600" o:gfxdata="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ZeuRNEAAAADAQAADwAAAAAAAAABACAAAAAi&#10;AAAAZHJzL2Rvd25yZXYueG1sUEsBAhQAFAAAAAgAh07iQFForiERAgAAEgQAAA4AAAAAAAAAAQAg&#10;AAAAIAEAAGRycy9lMm9Eb2MueG1sUEsFBgAAAAAGAAYAWQEAAKM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- 38 -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pPr>
                      <w:pStyle w:val="4"/>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- 38 -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- 2 -</w:t>
    </w:r>
    <w:r>
      <w:fldChar w:fldCharType="end"/>
    </w:r>
  </w:p>
  <w:p>
    <w:pPr>
      <w:pStyle w:val="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asciiTheme="majorEastAsia" w:hAnsiTheme="majorEastAsia" w:eastAsiaTheme="majorEastAsia"/>
                              <w:sz w:val="28"/>
                              <w:szCs w:val="28"/>
                            </w:rPr>
                            <w:id w:val="118535632"/>
                          </w:sdtPr>
                          <w:sdtEndPr>
                            <w:rPr>
                              <w:rFonts w:asciiTheme="majorEastAsia" w:hAnsiTheme="majorEastAsia" w:eastAsiaTheme="majorEastAsia"/>
                              <w:sz w:val="28"/>
                              <w:szCs w:val="28"/>
                            </w:rPr>
                          </w:sdtEndPr>
                          <w:sdtContent>
                            <w:p>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sdt>
                    <w:sdtPr>
                      <w:rPr>
                        <w:rFonts w:asciiTheme="majorEastAsia" w:hAnsiTheme="majorEastAsia" w:eastAsiaTheme="majorEastAsia"/>
                        <w:sz w:val="28"/>
                        <w:szCs w:val="28"/>
                      </w:rPr>
                      <w:id w:val="118535632"/>
                    </w:sdtPr>
                    <w:sdtEndPr>
                      <w:rPr>
                        <w:rFonts w:asciiTheme="majorEastAsia" w:hAnsiTheme="majorEastAsia" w:eastAsiaTheme="majorEastAsia"/>
                        <w:sz w:val="28"/>
                        <w:szCs w:val="28"/>
                      </w:rPr>
                    </w:sdtEndPr>
                    <w:sdtContent>
                      <w:p>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4"/>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ajorEastAsia" w:hAnsiTheme="majorEastAsia" w:eastAsiaTheme="majorEastAsia"/>
        <w:sz w:val="28"/>
        <w:szCs w:val="28"/>
      </w:rPr>
    </w:pPr>
  </w:p>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TdhNTQxY2EyYjgwYjQ2NTYzMzJkOWIzMzIzMWIifQ=="/>
  </w:docVars>
  <w:rsids>
    <w:rsidRoot w:val="1905678C"/>
    <w:rsid w:val="1905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qFormat/>
    <w:uiPriority w:val="0"/>
    <w:pPr>
      <w:spacing w:line="360" w:lineRule="auto"/>
      <w:ind w:left="0" w:right="0" w:firstLine="0"/>
      <w:jc w:val="center"/>
    </w:pPr>
    <w:rPr>
      <w:szCs w:val="20"/>
    </w:rPr>
  </w:style>
  <w:style w:type="paragraph" w:styleId="3">
    <w:name w:val="Normal Indent"/>
    <w:basedOn w:val="1"/>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2023-12-26T07:41:00Z</dcterms:created>
  <dc:creator>Administrator</dc:creator>
  <cp:lastModifiedBy>Administrator</cp:lastModifiedBy>
  <dcterms:modified xsi:type="dcterms:W3CDTF">2023-12-26T07:41:54Z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ABBB10A4706C482183ACA6F6C7BF5026_11</vt:lpwstr>
  </property>
</Properties>
</file>