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揭阳</w:t>
      </w:r>
      <w:r>
        <w:rPr>
          <w:rFonts w:hint="eastAsia" w:asciiTheme="majorEastAsia" w:hAnsiTheme="majorEastAsia" w:eastAsiaTheme="majorEastAsia"/>
          <w:b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市互联网上网服务营业场所行政处罚自由裁量权实施标准</w:t>
      </w:r>
    </w:p>
    <w:tbl>
      <w:tblPr>
        <w:tblStyle w:val="7"/>
        <w:tblW w:w="13914" w:type="dxa"/>
        <w:jc w:val="center"/>
        <w:tblInd w:w="19" w:type="dxa"/>
        <w:tblLayout w:type="fixed"/>
        <w:tblCellMar>
          <w:top w:w="15" w:type="dxa"/>
          <w:left w:w="15" w:type="dxa"/>
          <w:bottom w:w="0" w:type="dxa"/>
          <w:right w:w="15" w:type="dxa"/>
        </w:tblCellMar>
      </w:tblPr>
      <w:tblGrid>
        <w:gridCol w:w="380"/>
        <w:gridCol w:w="1699"/>
        <w:gridCol w:w="3402"/>
        <w:gridCol w:w="1338"/>
        <w:gridCol w:w="1157"/>
        <w:gridCol w:w="3993"/>
        <w:gridCol w:w="1945"/>
      </w:tblGrid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23" w:hRule="atLeast"/>
          <w:tblHeader/>
          <w:jc w:val="center"/>
        </w:trPr>
        <w:tc>
          <w:tcPr>
            <w:tcW w:w="3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69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违法行为</w:t>
            </w:r>
          </w:p>
        </w:tc>
        <w:tc>
          <w:tcPr>
            <w:tcW w:w="340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法律依据</w:t>
            </w:r>
          </w:p>
        </w:tc>
        <w:tc>
          <w:tcPr>
            <w:tcW w:w="133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违反条款</w:t>
            </w:r>
          </w:p>
        </w:tc>
        <w:tc>
          <w:tcPr>
            <w:tcW w:w="11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罚则</w:t>
            </w:r>
          </w:p>
        </w:tc>
        <w:tc>
          <w:tcPr>
            <w:tcW w:w="399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裁量标准</w:t>
            </w:r>
          </w:p>
        </w:tc>
        <w:tc>
          <w:tcPr>
            <w:tcW w:w="19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both"/>
              <w:rPr>
                <w:rFonts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3449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擅自从事互联网上网服务经营活动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《互联网上网服务营业场所管理条例》第二十七条：　违反本条例的规定，擅自从事互联网上网服务经营活动的，由文化行政部门或者由文化行政部门会同公安机关依法予以取缔，查封其从事违法经营活动的场所，扣押从事违法经营活动的专用工具、设备；触犯刑律的，依照刑法关于非法经营罪的规定，依法追究刑事责任；尚不够刑事处罚的，由文化行政部门没收违法所得及其从事违法经营活动的专用工具、设备；违法经营额1万元以上的，并处违法经营额5倍以上10倍以下的罚款；违法经营额不足1万元的，并处1万元以上5万元以下的罚款。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《互联网上网服务营业场所管理条例》第七条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《互联网上网服务营业场所管理条例》第二十七条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一、违法经营额不超过1万元的：没收违法所得及从事违法经营活动的专用工具、设备，并处罚款：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1、2年内第1次查处的，并处1万元罚款；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2、2年内第2次查处的，并处2万元罚款；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3、2年内3次以上查处的，或者在社会上造成恶劣影响的，或发生安全事故的，并处5万元罚款。                     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二、违法经营额1万元以上的：没收违法所得及从事违法经营活动的专用工具、设备，并处罚款：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的，并处违法经营额5倍罚款；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2、2年内第2次查处的，并处违法经营额8倍罚款；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3、2年内3次以上查处的，或者在社会上造成恶劣影响的，或发生安全事故的，并处违法经营额10倍罚款。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96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涂改、出租、出借或者以其他方式转让《网络文化经营许可证》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《互联网上网服务营业场所管理条例》第二十九条：　互联网上网服务营业场所经营单位违反本条例的规定，涂改、出租、出借或者以其他方式转让《网络文化经营许可证》，触犯刑律的，依照刑法关于伪造、变造、买卖国家机关公文、证件、印章罪的规定，依法追究刑事责任；尚不够刑事处罚的，由文化行政部门吊销《网络文化经营许可证》，没收违法所得；违法经营额5000元以上的，并处违法经营额2倍以上5倍以下的罚款；违法经营额不足5000元的，并处5000元以上1万元以下的罚款。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第十二条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2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第二十九条</w:t>
            </w:r>
          </w:p>
        </w:tc>
        <w:tc>
          <w:tcPr>
            <w:tcW w:w="3993" w:type="dxa"/>
            <w:shd w:val="clear" w:color="auto" w:fill="auto"/>
            <w:vAlign w:val="center"/>
          </w:tcPr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一、违法经营额不足5000元的，吊销《网络文化经营许可证》，没收违法所得，并处罚款：</w:t>
            </w:r>
          </w:p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1、并处5000元罚款；</w:t>
            </w:r>
          </w:p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2、在社会上造成恶劣影响的，或有其他严重情节的，并处1万元罚款。</w:t>
            </w:r>
          </w:p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二、违法经营额5000元以上的，吊销《网络文化经营许可证》，没收违法所得，并处罚款：</w:t>
            </w:r>
          </w:p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1、并处违法经营额2倍罚款；</w:t>
            </w:r>
          </w:p>
          <w:p>
            <w:pPr>
              <w:spacing w:line="22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2、在社会上造成恶劣影响的，或有其他严重情节的，并处违法经营额5倍罚款。</w:t>
            </w:r>
          </w:p>
        </w:tc>
        <w:tc>
          <w:tcPr>
            <w:tcW w:w="194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54" w:hRule="atLeast"/>
          <w:jc w:val="center"/>
        </w:trPr>
        <w:tc>
          <w:tcPr>
            <w:tcW w:w="3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699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在规定的营业时间以外营业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《互联网上网服务营业场所管理条例》第三十一条：　互联网上网服务营业场所经营单位违反本条例的规定，有下列行为之一的，由文化行政部门给予警告，可以并处15000元以下的罚款；情节严重的，责令停业整顿，直至吊销《网络文化经营许可证》：（一）在规定的营业时间以外营业的；</w:t>
            </w:r>
          </w:p>
        </w:tc>
        <w:tc>
          <w:tcPr>
            <w:tcW w:w="133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第二十二条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第三十一条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第一项</w:t>
            </w:r>
          </w:p>
        </w:tc>
        <w:tc>
          <w:tcPr>
            <w:tcW w:w="399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查处的，给予警告；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2、2年内第2次查处的，给予警告，处500元罚款；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轻微违法行为，可适用简易程序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620" w:hRule="atLeast"/>
          <w:jc w:val="center"/>
        </w:trPr>
        <w:tc>
          <w:tcPr>
            <w:tcW w:w="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根据文化和旅游部的文市发〔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2014〕41号文及省文化和旅游厅的粤文旅市〔2018〕39号文，在全省范围内开展上网服务场所管理长效机制试点工作，允许试点地区不对上网服务场所营业时间作出统一规定。2019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年1月1日起实施，有效期5年。试点有效期内不予处罚。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985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接纳未成年人进入营业场所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一条：互联网上网服务营业场所经营单位违反本条例的规定，有下列行为之一的，由文化行政部门给予警告，可以并处15000元以下的罚款；情节严重的，责令停业整顿，直至吊销《网络文化经营许可证》：（二）接纳未成年人进入营业场所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第二十一条第一款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第三十一条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的，给予警告，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  <w:t>每接纳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1名，罚款1000元，最高不超15000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元；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2、2年内第2次查处的，给予警告，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:lang w:eastAsia="zh-CN"/>
                <w14:textFill>
                  <w14:solidFill>
                    <w14:schemeClr w14:val="tx1"/>
                  </w14:solidFill>
                </w14:textFill>
              </w:rPr>
              <w:t>每接纳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1名，罚款2000元，最高不超15000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yellow"/>
                <w14:textFill>
                  <w14:solidFill>
                    <w14:schemeClr w14:val="tx1"/>
                  </w14:solidFill>
                </w14:textFill>
              </w:rPr>
              <w:t>元；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3、2年内3次以上查处的，责令停业整顿；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4、2年内5次以上查处的，或在社会上造成恶劣影响的，或有其他严重情节的，吊销《网络文化经营许可证》。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534" w:hRule="atLeast"/>
          <w:jc w:val="center"/>
        </w:trPr>
        <w:tc>
          <w:tcPr>
            <w:tcW w:w="3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699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经营非网络游戏</w:t>
            </w:r>
          </w:p>
        </w:tc>
        <w:tc>
          <w:tcPr>
            <w:tcW w:w="3402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一条：互联网上网服务营业场所经营单位违反本条例的规定，有下列行为之一的，由文化行政部门给予警告，可以并处15000元以下的罚款；情节严重的，责令停业整顿，直至吊销《网络文化经营许可证》：（三）经营非网络游戏的；</w:t>
            </w:r>
          </w:p>
        </w:tc>
        <w:tc>
          <w:tcPr>
            <w:tcW w:w="1338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第十七条</w:t>
            </w:r>
          </w:p>
        </w:tc>
        <w:tc>
          <w:tcPr>
            <w:tcW w:w="115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第三十一条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第三项</w:t>
            </w:r>
          </w:p>
        </w:tc>
        <w:tc>
          <w:tcPr>
            <w:tcW w:w="3993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2、2年内第2次查处的，给予警告，处500元罚款；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3、2年内第3次查处的，给予警告，处5000元罚款；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4、2年内4次以上被查处的，责令停业整顿；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5、在社会上造成恶劣影响的，或造成其他严重后果的，吊销《网络文化经营许可证》。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1620" w:hRule="atLeast"/>
          <w:jc w:val="center"/>
        </w:trPr>
        <w:tc>
          <w:tcPr>
            <w:tcW w:w="38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根据文化和旅游部的文市发〔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2014〕41号文及省文化和旅游厅的粤文旅市〔2018〕39号文，在全省范围内开展上网服务场所管理长效机制试点工作，允许上网服务场所经营非网络游戏。2019年1月1日起实施，有效期5年。试点有效期内不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予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处罚。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056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6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擅自停止实施经营管理技术措施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一条：互联网上网服务营业场所经营单位违反本条例的规定，有下列行为之一的，由文化行政部门给予警告，可以并处15000元以下的罚款；情节严重的，责令停业整顿，直至吊销《网络文化经营许可证》：（四）擅自停止实施经营管理技术措施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第十九条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第三十一条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第四项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2、2年内第2次查处的，给予警告，处2000元罚款；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056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7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未悬挂《网络文化经营许可证》或者未成年人禁入标志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一条：互联网上网服务营业场所经营单位违反本条例的规定，有下列行为之一的，由文化行政部门给予警告，可以并处15000元以下的罚款；情节严重的，责令停业整顿，直至吊销《网络文化经营许可证》：（五）未悬挂《网络文化经营许可证》或者未成年人禁入标志的。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第二十一条第二款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第三十一条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第五项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2、2年内第2次查处的，给予警告，处1000元罚款；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3、2年内第3次查处的，给予警告，处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5000元罚款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23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8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向上网消费者提供的计算机未通过局域网的方式接入互联网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二条：互联网上网服务营业场所经营单位违反本条例的规定，有下列行为之一的，由文化行政部门、公安机关依据各自职权给予警告，可以并处15000元以下的罚款；情节严重的，责令停业整顿，直至由文化行政部门吊销《网络文化经营许可证》：（一）向上网消费者提供的计算机未通过局域网的方式接入互联网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第十六条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第二款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  <w:p>
            <w:pPr>
              <w:spacing w:line="240" w:lineRule="exact"/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第一项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2、2年内第2次查处的，给予警告，处500元罚款；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3、2年内第3次查处的，给予警告，处15000元罚款；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spacing w:line="240" w:lineRule="exact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056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未建立场内巡查制度，或者发现上网消费者的违法行为未予制止并向文化行政部门、公安机关举报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二条：互联网上网服务营业场所经营单位违反本条例的规定，有下列行为之一的，由文化行政部门、公安机关依据各自职权给予警告，可以并处15000元以下的罚款；情节严重的，责令停业整顿，直至由文化行政部门吊销《网络文化经营许可证》：（二）未建立场内巡查制度，或者发现上网消费者的违法行为未予制止并向文化行政部门、公安机关举报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第十九条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2、2年内第2次查处的，给予警告，处2000元罚款。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260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10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未按规定核对、登记上网消费者的有效身份证件或者记录有关上网信息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二条：互联网上网服务营业场所经营单位违反本条例的规定，有下列行为之一的，由文化行政部门、公安机关依据各自职权给予警告，可以并处15000元以下的罚款；情节严重的，责令停业整顿，直至由文化行政部门吊销《网络文化经营许可证》:（三）未按规定核对、登记上网消费者的有效身份证件或者记录有关上网信息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第二十三条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的，给予警告，处1000元罚款；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2、2年内第2次查处的，给予警告，处5000元罚款。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　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056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11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未按规定时间保存登记内容、记录备份，或者在保存期内修改、删除登记内容、记录备份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二条：互联网上网服务营业场所经营单位违反本条例的规定，有下列行为之一的，由文化行政部门、公安机关依据各自职权给予警告，可以并处15000元以下的罚款；情节严重的，责令停业整顿，直至由文化行政部门吊销《网络文化经营许可证》：　（四）未按规定时间保存登记内容、记录备份，或者在保存期内修改、删除登记内容、记录备份的；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第二十三条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第四项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2、2年内第2次查处的，给予警告，处2000元罚款。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2463" w:hRule="atLeast"/>
          <w:jc w:val="center"/>
        </w:trPr>
        <w:tc>
          <w:tcPr>
            <w:tcW w:w="3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bCs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12</w:t>
            </w:r>
          </w:p>
        </w:tc>
        <w:tc>
          <w:tcPr>
            <w:tcW w:w="1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变更名称、住所、法定代表人或者主要负责人、注册资本、网络地址或者终止经营活动，未向文化行政部门、公安机关办理有关手续或者备案</w:t>
            </w:r>
          </w:p>
        </w:tc>
        <w:tc>
          <w:tcPr>
            <w:tcW w:w="340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《互联网上网服务营业场所管理条例》第三十二条：　互联网上网服务营业场所经营单位违反本条例的规定，有下列行为之一的，由文化行政部门、公安机关依据各自职权给予警告，可以并处15000元以下的罚款；情节严重的，责令停业整顿，直至由文化行政部门吊销《网络文化经营许可证》：　 （五）变更名称、住所、法定代表人或者主要负责人、注册资本、网络地址或者终止经营活动，未向文化行政部门、公安机关办理有关手续或者备案的。</w:t>
            </w:r>
          </w:p>
        </w:tc>
        <w:tc>
          <w:tcPr>
            <w:tcW w:w="133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第十三条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第二款</w:t>
            </w:r>
          </w:p>
        </w:tc>
        <w:tc>
          <w:tcPr>
            <w:tcW w:w="11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第三十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三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条</w:t>
            </w:r>
          </w:p>
          <w:p>
            <w:pPr>
              <w:jc w:val="center"/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第五项</w:t>
            </w:r>
          </w:p>
        </w:tc>
        <w:tc>
          <w:tcPr>
            <w:tcW w:w="399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1、</w:t>
            </w:r>
            <w: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2年内第1次查处</w:t>
            </w: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的，给予警告；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2、2年内第2次查处的，给予警告，处2000元罚款。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3、2年内第3次查处的，处15000元罚款； 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4、2年内4次以上查处的，责令停业整顿；</w:t>
            </w:r>
          </w:p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5、在社会上造成恶劣影响的，或有其他严重情节的，吊销《网络文化经营许可证》。</w:t>
            </w:r>
          </w:p>
        </w:tc>
        <w:tc>
          <w:tcPr>
            <w:tcW w:w="19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轻微违法行为，可使用简易程序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0" w:type="dxa"/>
            <w:right w:w="15" w:type="dxa"/>
          </w:tblCellMar>
        </w:tblPrEx>
        <w:trPr>
          <w:trHeight w:val="90" w:hRule="atLeast"/>
          <w:jc w:val="center"/>
          <w:hidden/>
        </w:trPr>
        <w:tc>
          <w:tcPr>
            <w:tcW w:w="380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99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38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7" w:type="dxa"/>
            <w:shd w:val="clear" w:color="auto" w:fill="auto"/>
            <w:vAlign w:val="center"/>
          </w:tcPr>
          <w:p>
            <w:pPr>
              <w:jc w:val="center"/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993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45" w:type="dxa"/>
            <w:shd w:val="clear" w:color="auto" w:fill="auto"/>
            <w:vAlign w:val="center"/>
          </w:tcPr>
          <w:p>
            <w:pPr>
              <w:rPr>
                <w:rFonts w:ascii="仿宋_GB2312" w:eastAsia="仿宋_GB2312"/>
                <w:vanish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sectPr>
      <w:pgSz w:w="16783" w:h="11850" w:orient="landscape"/>
      <w:pgMar w:top="1800" w:right="1440" w:bottom="1800" w:left="1440" w:header="851" w:footer="992" w:gutter="0"/>
      <w:cols w:space="425" w:num="1"/>
      <w:docGrid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 w:val="1"/>
  <w:bordersDoNotSurroundHeader w:val="1"/>
  <w:bordersDoNotSurroundFooter w:val="1"/>
  <w:documentProtection w:enforcement="0"/>
  <w:defaultTabStop w:val="420"/>
  <w:noPunctuationKerning w:val="1"/>
  <w:characterSpacingControl w:val="doNotCompress"/>
  <w:compat>
    <w:doNotSnapToGridInCell/>
    <w:doNotWrapTextWithPunct/>
    <w:doNotUseEastAsianBreakRules/>
    <w:growAutofit/>
    <w:useFELayout/>
    <w:compatSetting w:name="compatibilityMode" w:uri="http://schemas.microsoft.com/office/word" w:val="14"/>
  </w:compat>
  <w:rsids>
    <w:rsidRoot w:val="00B90CB3"/>
    <w:rsid w:val="00017089"/>
    <w:rsid w:val="000B3443"/>
    <w:rsid w:val="000C5BF9"/>
    <w:rsid w:val="000E12C4"/>
    <w:rsid w:val="000F01A8"/>
    <w:rsid w:val="00104D13"/>
    <w:rsid w:val="001B599F"/>
    <w:rsid w:val="001C217B"/>
    <w:rsid w:val="002F17C5"/>
    <w:rsid w:val="003058C6"/>
    <w:rsid w:val="003479BA"/>
    <w:rsid w:val="00351774"/>
    <w:rsid w:val="00364FA8"/>
    <w:rsid w:val="00377DDC"/>
    <w:rsid w:val="00442D25"/>
    <w:rsid w:val="004C34BC"/>
    <w:rsid w:val="004F5210"/>
    <w:rsid w:val="00557213"/>
    <w:rsid w:val="00560416"/>
    <w:rsid w:val="00561A20"/>
    <w:rsid w:val="005A14DE"/>
    <w:rsid w:val="005A66D5"/>
    <w:rsid w:val="005B250E"/>
    <w:rsid w:val="005B7025"/>
    <w:rsid w:val="005D67D0"/>
    <w:rsid w:val="00647161"/>
    <w:rsid w:val="00692E28"/>
    <w:rsid w:val="006B5DD4"/>
    <w:rsid w:val="007041E4"/>
    <w:rsid w:val="007D4C9D"/>
    <w:rsid w:val="00802CCF"/>
    <w:rsid w:val="00825D97"/>
    <w:rsid w:val="00893673"/>
    <w:rsid w:val="008D2EEE"/>
    <w:rsid w:val="00940F72"/>
    <w:rsid w:val="00951FD6"/>
    <w:rsid w:val="009D3C40"/>
    <w:rsid w:val="009E27B9"/>
    <w:rsid w:val="00A2598F"/>
    <w:rsid w:val="00A94C45"/>
    <w:rsid w:val="00B271F6"/>
    <w:rsid w:val="00B33229"/>
    <w:rsid w:val="00B65987"/>
    <w:rsid w:val="00B90B95"/>
    <w:rsid w:val="00B90CB3"/>
    <w:rsid w:val="00C37F09"/>
    <w:rsid w:val="00C40041"/>
    <w:rsid w:val="00CF66FF"/>
    <w:rsid w:val="00D93C5F"/>
    <w:rsid w:val="00DE0D4C"/>
    <w:rsid w:val="00E02D4A"/>
    <w:rsid w:val="00ED3D9C"/>
    <w:rsid w:val="00EE5B06"/>
    <w:rsid w:val="15863063"/>
    <w:rsid w:val="3A4A67D4"/>
    <w:rsid w:val="41F459FB"/>
    <w:rsid w:val="44F21DD1"/>
    <w:rsid w:val="465807F2"/>
    <w:rsid w:val="64E35794"/>
    <w:rsid w:val="6FF1238A"/>
    <w:rsid w:val="7F38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9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5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paragraph" w:customStyle="1" w:styleId="8">
    <w:name w:val="font527753"/>
    <w:basedOn w:val="1"/>
    <w:qFormat/>
    <w:uiPriority w:val="0"/>
    <w:pPr>
      <w:spacing w:before="100" w:beforeAutospacing="1" w:after="100" w:afterAutospacing="1"/>
    </w:pPr>
    <w:rPr>
      <w:rFonts w:ascii="仿宋_GB2312" w:eastAsia="仿宋_GB2312"/>
      <w:sz w:val="20"/>
      <w:szCs w:val="20"/>
    </w:rPr>
  </w:style>
  <w:style w:type="paragraph" w:customStyle="1" w:styleId="9">
    <w:name w:val="font627753"/>
    <w:basedOn w:val="1"/>
    <w:qFormat/>
    <w:uiPriority w:val="0"/>
    <w:pPr>
      <w:spacing w:before="100" w:beforeAutospacing="1" w:after="100" w:afterAutospacing="1"/>
    </w:pPr>
    <w:rPr>
      <w:rFonts w:ascii="仿宋_GB2312" w:eastAsia="仿宋_GB2312"/>
      <w:color w:val="FF0000"/>
      <w:sz w:val="20"/>
      <w:szCs w:val="20"/>
    </w:rPr>
  </w:style>
  <w:style w:type="paragraph" w:customStyle="1" w:styleId="10">
    <w:name w:val="font727753"/>
    <w:basedOn w:val="1"/>
    <w:qFormat/>
    <w:uiPriority w:val="0"/>
    <w:pPr>
      <w:spacing w:before="100" w:beforeAutospacing="1" w:after="100" w:afterAutospacing="1"/>
    </w:pPr>
    <w:rPr>
      <w:rFonts w:ascii="仿宋_GB2312" w:eastAsia="仿宋_GB2312"/>
      <w:color w:val="FF0000"/>
      <w:sz w:val="20"/>
      <w:szCs w:val="20"/>
    </w:rPr>
  </w:style>
  <w:style w:type="paragraph" w:customStyle="1" w:styleId="11">
    <w:name w:val="font827753"/>
    <w:basedOn w:val="1"/>
    <w:qFormat/>
    <w:uiPriority w:val="0"/>
    <w:pPr>
      <w:spacing w:before="100" w:beforeAutospacing="1" w:after="100" w:afterAutospacing="1"/>
    </w:pPr>
    <w:rPr>
      <w:rFonts w:ascii="仿宋_GB2312" w:eastAsia="仿宋_GB2312"/>
      <w:color w:val="333333"/>
      <w:sz w:val="20"/>
      <w:szCs w:val="20"/>
    </w:rPr>
  </w:style>
  <w:style w:type="paragraph" w:customStyle="1" w:styleId="12">
    <w:name w:val="font927753"/>
    <w:basedOn w:val="1"/>
    <w:qFormat/>
    <w:uiPriority w:val="0"/>
    <w:pPr>
      <w:spacing w:before="100" w:beforeAutospacing="1" w:after="100" w:afterAutospacing="1"/>
    </w:pPr>
    <w:rPr>
      <w:sz w:val="18"/>
      <w:szCs w:val="18"/>
    </w:rPr>
  </w:style>
  <w:style w:type="paragraph" w:customStyle="1" w:styleId="13">
    <w:name w:val="font1027753"/>
    <w:basedOn w:val="1"/>
    <w:qFormat/>
    <w:uiPriority w:val="0"/>
    <w:pPr>
      <w:spacing w:before="100" w:beforeAutospacing="1" w:after="100" w:afterAutospacing="1"/>
    </w:pPr>
    <w:rPr>
      <w:rFonts w:ascii="仿宋_GB2312" w:eastAsia="仿宋_GB2312"/>
      <w:color w:val="339966"/>
      <w:sz w:val="20"/>
      <w:szCs w:val="20"/>
    </w:rPr>
  </w:style>
  <w:style w:type="paragraph" w:customStyle="1" w:styleId="14">
    <w:name w:val="xl65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15">
    <w:name w:val="xl66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16">
    <w:name w:val="xl67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17">
    <w:name w:val="xl68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000000"/>
      <w:sz w:val="20"/>
      <w:szCs w:val="20"/>
    </w:rPr>
  </w:style>
  <w:style w:type="paragraph" w:customStyle="1" w:styleId="18">
    <w:name w:val="xl69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19">
    <w:name w:val="xl70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0">
    <w:name w:val="xl71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1">
    <w:name w:val="xl72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2">
    <w:name w:val="xl73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3">
    <w:name w:val="xl7427753"/>
    <w:basedOn w:val="1"/>
    <w:qFormat/>
    <w:uiPriority w:val="0"/>
    <w:pP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24">
    <w:name w:val="xl7527753"/>
    <w:basedOn w:val="1"/>
    <w:qFormat/>
    <w:uiPriority w:val="0"/>
    <w:pP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25">
    <w:name w:val="xl76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26">
    <w:name w:val="xl77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333333"/>
      <w:sz w:val="20"/>
      <w:szCs w:val="20"/>
    </w:rPr>
  </w:style>
  <w:style w:type="paragraph" w:customStyle="1" w:styleId="27">
    <w:name w:val="xl7827753"/>
    <w:basedOn w:val="1"/>
    <w:qFormat/>
    <w:uiPriority w:val="0"/>
    <w:pP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8">
    <w:name w:val="xl79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29">
    <w:name w:val="xl80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0">
    <w:name w:val="xl81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1">
    <w:name w:val="xl82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2">
    <w:name w:val="xl83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3">
    <w:name w:val="xl84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4">
    <w:name w:val="xl85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5">
    <w:name w:val="xl86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6">
    <w:name w:val="xl87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37">
    <w:name w:val="xl88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38">
    <w:name w:val="xl89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39">
    <w:name w:val="xl90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40">
    <w:name w:val="xl9127753"/>
    <w:basedOn w:val="1"/>
    <w:qFormat/>
    <w:uiPriority w:val="0"/>
    <w:pPr>
      <w:pBdr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41">
    <w:name w:val="xl92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42">
    <w:name w:val="xl93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43">
    <w:name w:val="xl94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44">
    <w:name w:val="xl95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45">
    <w:name w:val="xl96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</w:style>
  <w:style w:type="paragraph" w:customStyle="1" w:styleId="46">
    <w:name w:val="xl97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47">
    <w:name w:val="xl98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48">
    <w:name w:val="xl99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</w:style>
  <w:style w:type="paragraph" w:customStyle="1" w:styleId="49">
    <w:name w:val="xl10027753"/>
    <w:basedOn w:val="1"/>
    <w:qFormat/>
    <w:uiPriority w:val="0"/>
    <w:pPr>
      <w:pBdr>
        <w:left w:val="single" w:color="auto" w:sz="4" w:space="1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50">
    <w:name w:val="xl10127753"/>
    <w:basedOn w:val="1"/>
    <w:qFormat/>
    <w:uiPriority w:val="0"/>
    <w:pPr>
      <w:pBdr>
        <w:top w:val="single" w:color="auto" w:sz="4" w:space="1"/>
        <w:left w:val="single" w:color="auto" w:sz="4" w:space="1"/>
        <w:bottom w:val="single" w:color="auto" w:sz="4" w:space="0"/>
        <w:right w:val="single" w:color="auto" w:sz="4" w:space="1"/>
      </w:pBdr>
      <w:shd w:val="clear" w:color="000000" w:fill="FFFF00"/>
      <w:spacing w:before="100" w:beforeAutospacing="1" w:after="100" w:afterAutospacing="1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51">
    <w:name w:val="xl102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52">
    <w:name w:val="xl103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53">
    <w:name w:val="xl104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sz w:val="20"/>
      <w:szCs w:val="20"/>
    </w:rPr>
  </w:style>
  <w:style w:type="paragraph" w:customStyle="1" w:styleId="54">
    <w:name w:val="xl105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55">
    <w:name w:val="xl10627753"/>
    <w:basedOn w:val="1"/>
    <w:qFormat/>
    <w:uiPriority w:val="0"/>
    <w:pPr>
      <w:pBdr>
        <w:left w:val="single" w:color="auto" w:sz="4" w:space="1"/>
        <w:bottom w:val="single" w:color="auto" w:sz="4" w:space="0"/>
        <w:right w:val="single" w:color="auto" w:sz="4" w:space="1"/>
      </w:pBdr>
      <w:spacing w:before="100" w:beforeAutospacing="1" w:after="100" w:afterAutospacing="1"/>
      <w:jc w:val="center"/>
      <w:textAlignment w:val="center"/>
    </w:pPr>
    <w:rPr>
      <w:rFonts w:ascii="仿宋_GB2312" w:eastAsia="仿宋_GB2312"/>
      <w:color w:val="FF0000"/>
      <w:sz w:val="20"/>
      <w:szCs w:val="20"/>
    </w:rPr>
  </w:style>
  <w:style w:type="paragraph" w:customStyle="1" w:styleId="56">
    <w:name w:val="xl10727753"/>
    <w:basedOn w:val="1"/>
    <w:qFormat/>
    <w:uiPriority w:val="0"/>
    <w:pPr>
      <w:pBdr>
        <w:top w:val="single" w:color="auto" w:sz="4" w:space="1"/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paragraph" w:customStyle="1" w:styleId="57">
    <w:name w:val="xl10827753"/>
    <w:basedOn w:val="1"/>
    <w:qFormat/>
    <w:uiPriority w:val="0"/>
    <w:pPr>
      <w:pBdr>
        <w:left w:val="single" w:color="auto" w:sz="4" w:space="1"/>
        <w:right w:val="single" w:color="auto" w:sz="4" w:space="1"/>
      </w:pBdr>
      <w:spacing w:before="100" w:beforeAutospacing="1" w:after="100" w:afterAutospacing="1"/>
      <w:textAlignment w:val="center"/>
    </w:pPr>
    <w:rPr>
      <w:rFonts w:ascii="仿宋_GB2312" w:eastAsia="仿宋_GB2312"/>
      <w:sz w:val="20"/>
      <w:szCs w:val="20"/>
    </w:rPr>
  </w:style>
  <w:style w:type="character" w:customStyle="1" w:styleId="58">
    <w:name w:val="页眉 Char"/>
    <w:basedOn w:val="5"/>
    <w:link w:val="4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59">
    <w:name w:val="页脚 Char"/>
    <w:basedOn w:val="5"/>
    <w:link w:val="3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60">
    <w:name w:val="批注框文本 Char"/>
    <w:basedOn w:val="5"/>
    <w:link w:val="2"/>
    <w:semiHidden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724</Words>
  <Characters>4133</Characters>
  <Lines>34</Lines>
  <Paragraphs>9</Paragraphs>
  <TotalTime>0</TotalTime>
  <ScaleCrop>false</ScaleCrop>
  <LinksUpToDate>false</LinksUpToDate>
  <CharactersWithSpaces>4848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2019-07-08T14:04:00Z</dcterms:created>
  <dc:creator>未定义</dc:creator>
  <cp:lastModifiedBy>未定义</cp:lastModifiedBy>
  <cp:lastPrinted>2020-12-09T06:58:00Z</cp:lastPrinted>
  <dcterms:modified xsi:type="dcterms:W3CDTF">2022-05-09T01:23:29Z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