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b/>
          <w:color w:val="000000" w:themeColor="text1"/>
          <w:sz w:val="44"/>
          <w:szCs w:val="44"/>
        </w:rPr>
      </w:pPr>
      <w:r>
        <w:rPr>
          <w:rFonts w:hint="eastAsia" w:asciiTheme="majorEastAsia" w:hAnsiTheme="majorEastAsia" w:eastAsiaTheme="majorEastAsia"/>
          <w:b/>
          <w:color w:val="000000" w:themeColor="text1"/>
          <w:sz w:val="44"/>
          <w:szCs w:val="44"/>
          <w:lang w:eastAsia="zh-CN"/>
        </w:rPr>
        <w:t>揭阳</w:t>
      </w:r>
      <w:r>
        <w:rPr>
          <w:rFonts w:hint="eastAsia" w:asciiTheme="majorEastAsia" w:hAnsiTheme="majorEastAsia" w:eastAsiaTheme="majorEastAsia"/>
          <w:b/>
          <w:color w:val="000000" w:themeColor="text1"/>
          <w:sz w:val="44"/>
          <w:szCs w:val="44"/>
        </w:rPr>
        <w:t>市点播影院、点播院线行政处罚自由裁量权实施标准</w:t>
      </w:r>
    </w:p>
    <w:tbl>
      <w:tblPr>
        <w:tblStyle w:val="8"/>
        <w:tblW w:w="1398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
      <w:tblGrid>
        <w:gridCol w:w="418"/>
        <w:gridCol w:w="2127"/>
        <w:gridCol w:w="3585"/>
        <w:gridCol w:w="1082"/>
        <w:gridCol w:w="1874"/>
        <w:gridCol w:w="3838"/>
        <w:gridCol w:w="106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750" w:hRule="atLeast"/>
          <w:tblHeader/>
          <w:jc w:val="center"/>
        </w:trPr>
        <w:tc>
          <w:tcPr>
            <w:tcW w:w="418" w:type="dxa"/>
            <w:shd w:val="clear" w:color="auto" w:fill="auto"/>
            <w:vAlign w:val="center"/>
          </w:tcPr>
          <w:p>
            <w:pPr>
              <w:jc w:val="center"/>
              <w:rPr>
                <w:rFonts w:ascii="仿宋_GB2312" w:eastAsia="仿宋_GB2312"/>
                <w:b/>
                <w:color w:val="000000" w:themeColor="text1"/>
                <w:sz w:val="21"/>
                <w:szCs w:val="21"/>
              </w:rPr>
            </w:pPr>
            <w:r>
              <w:rPr>
                <w:rFonts w:hint="eastAsia" w:ascii="仿宋_GB2312" w:eastAsia="仿宋_GB2312"/>
                <w:b/>
                <w:color w:val="000000" w:themeColor="text1"/>
                <w:sz w:val="21"/>
                <w:szCs w:val="21"/>
              </w:rPr>
              <w:t>序号</w:t>
            </w:r>
          </w:p>
        </w:tc>
        <w:tc>
          <w:tcPr>
            <w:tcW w:w="2127" w:type="dxa"/>
            <w:shd w:val="clear" w:color="auto" w:fill="auto"/>
            <w:vAlign w:val="center"/>
          </w:tcPr>
          <w:p>
            <w:pPr>
              <w:jc w:val="center"/>
              <w:rPr>
                <w:rFonts w:ascii="仿宋_GB2312" w:eastAsia="仿宋_GB2312"/>
                <w:b/>
                <w:color w:val="000000" w:themeColor="text1"/>
                <w:sz w:val="21"/>
                <w:szCs w:val="21"/>
              </w:rPr>
            </w:pPr>
            <w:r>
              <w:rPr>
                <w:rFonts w:hint="eastAsia" w:ascii="仿宋_GB2312" w:eastAsia="仿宋_GB2312"/>
                <w:b/>
                <w:color w:val="000000" w:themeColor="text1"/>
                <w:sz w:val="21"/>
                <w:szCs w:val="21"/>
              </w:rPr>
              <w:t>违法行为</w:t>
            </w:r>
          </w:p>
        </w:tc>
        <w:tc>
          <w:tcPr>
            <w:tcW w:w="3585" w:type="dxa"/>
            <w:tcBorders>
              <w:bottom w:val="single" w:color="auto" w:sz="4" w:space="0"/>
            </w:tcBorders>
            <w:shd w:val="clear" w:color="auto" w:fill="auto"/>
            <w:vAlign w:val="center"/>
          </w:tcPr>
          <w:p>
            <w:pPr>
              <w:jc w:val="center"/>
              <w:rPr>
                <w:rFonts w:ascii="仿宋_GB2312" w:eastAsia="仿宋_GB2312"/>
                <w:b/>
                <w:color w:val="000000" w:themeColor="text1"/>
                <w:sz w:val="21"/>
                <w:szCs w:val="21"/>
              </w:rPr>
            </w:pPr>
            <w:r>
              <w:rPr>
                <w:rFonts w:hint="eastAsia" w:ascii="仿宋_GB2312" w:eastAsia="仿宋_GB2312"/>
                <w:b/>
                <w:color w:val="000000" w:themeColor="text1"/>
                <w:sz w:val="21"/>
                <w:szCs w:val="21"/>
              </w:rPr>
              <w:t>法律依据</w:t>
            </w:r>
          </w:p>
        </w:tc>
        <w:tc>
          <w:tcPr>
            <w:tcW w:w="1082" w:type="dxa"/>
            <w:shd w:val="clear" w:color="auto" w:fill="auto"/>
            <w:vAlign w:val="center"/>
          </w:tcPr>
          <w:p>
            <w:pPr>
              <w:jc w:val="center"/>
              <w:rPr>
                <w:rFonts w:ascii="仿宋_GB2312" w:eastAsia="仿宋_GB2312"/>
                <w:b/>
                <w:color w:val="000000" w:themeColor="text1"/>
                <w:sz w:val="21"/>
                <w:szCs w:val="21"/>
              </w:rPr>
            </w:pPr>
            <w:r>
              <w:rPr>
                <w:rFonts w:hint="eastAsia" w:ascii="仿宋_GB2312" w:eastAsia="仿宋_GB2312"/>
                <w:b/>
                <w:color w:val="000000" w:themeColor="text1"/>
                <w:sz w:val="21"/>
                <w:szCs w:val="21"/>
              </w:rPr>
              <w:t>违反条款</w:t>
            </w:r>
          </w:p>
        </w:tc>
        <w:tc>
          <w:tcPr>
            <w:tcW w:w="1874" w:type="dxa"/>
            <w:shd w:val="clear" w:color="auto" w:fill="auto"/>
            <w:vAlign w:val="center"/>
          </w:tcPr>
          <w:p>
            <w:pPr>
              <w:jc w:val="center"/>
              <w:rPr>
                <w:rFonts w:ascii="仿宋_GB2312" w:eastAsia="仿宋_GB2312"/>
                <w:b/>
                <w:color w:val="000000" w:themeColor="text1"/>
                <w:sz w:val="21"/>
                <w:szCs w:val="21"/>
              </w:rPr>
            </w:pPr>
            <w:r>
              <w:rPr>
                <w:rFonts w:hint="eastAsia" w:ascii="仿宋_GB2312" w:eastAsia="仿宋_GB2312"/>
                <w:b/>
                <w:color w:val="000000" w:themeColor="text1"/>
                <w:sz w:val="21"/>
                <w:szCs w:val="21"/>
              </w:rPr>
              <w:t>罚则</w:t>
            </w:r>
          </w:p>
        </w:tc>
        <w:tc>
          <w:tcPr>
            <w:tcW w:w="3838" w:type="dxa"/>
            <w:shd w:val="clear" w:color="auto" w:fill="auto"/>
            <w:vAlign w:val="center"/>
          </w:tcPr>
          <w:p>
            <w:pPr>
              <w:jc w:val="center"/>
              <w:rPr>
                <w:rFonts w:ascii="仿宋_GB2312" w:eastAsia="仿宋_GB2312"/>
                <w:b/>
                <w:color w:val="000000" w:themeColor="text1"/>
                <w:sz w:val="21"/>
                <w:szCs w:val="21"/>
              </w:rPr>
            </w:pPr>
            <w:r>
              <w:rPr>
                <w:rFonts w:hint="eastAsia" w:ascii="仿宋_GB2312" w:eastAsia="仿宋_GB2312"/>
                <w:b/>
                <w:color w:val="000000" w:themeColor="text1"/>
                <w:sz w:val="21"/>
                <w:szCs w:val="21"/>
              </w:rPr>
              <w:t>裁量标准</w:t>
            </w:r>
          </w:p>
        </w:tc>
        <w:tc>
          <w:tcPr>
            <w:tcW w:w="1064" w:type="dxa"/>
            <w:shd w:val="clear" w:color="auto" w:fill="auto"/>
            <w:vAlign w:val="center"/>
          </w:tcPr>
          <w:p>
            <w:pPr>
              <w:jc w:val="both"/>
              <w:rPr>
                <w:rFonts w:ascii="仿宋_GB2312" w:eastAsia="仿宋_GB2312"/>
                <w:b/>
                <w:color w:val="000000" w:themeColor="text1"/>
                <w:sz w:val="21"/>
                <w:szCs w:val="21"/>
              </w:rPr>
            </w:pPr>
            <w:r>
              <w:rPr>
                <w:rFonts w:hint="eastAsia" w:ascii="仿宋_GB2312" w:eastAsia="仿宋_GB2312"/>
                <w:b/>
                <w:color w:val="000000" w:themeColor="text1"/>
                <w:sz w:val="21"/>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3645" w:hRule="atLeast"/>
          <w:jc w:val="center"/>
        </w:trPr>
        <w:tc>
          <w:tcPr>
            <w:tcW w:w="418" w:type="dxa"/>
            <w:shd w:val="clear" w:color="auto" w:fill="auto"/>
            <w:vAlign w:val="center"/>
          </w:tcPr>
          <w:p>
            <w:pPr>
              <w:jc w:val="center"/>
              <w:rPr>
                <w:rFonts w:ascii="仿宋_GB2312" w:eastAsia="仿宋_GB2312"/>
                <w:color w:val="000000" w:themeColor="text1"/>
                <w:sz w:val="21"/>
                <w:szCs w:val="21"/>
              </w:rPr>
            </w:pPr>
            <w:r>
              <w:rPr>
                <w:rFonts w:hint="eastAsia" w:ascii="仿宋_GB2312" w:eastAsia="仿宋_GB2312"/>
                <w:color w:val="000000" w:themeColor="text1"/>
                <w:sz w:val="21"/>
                <w:szCs w:val="21"/>
              </w:rPr>
              <w:t>1</w:t>
            </w:r>
          </w:p>
        </w:tc>
        <w:tc>
          <w:tcPr>
            <w:tcW w:w="2127" w:type="dxa"/>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擅自从事点播影院、点播院线电影放映、发行活动</w:t>
            </w:r>
          </w:p>
        </w:tc>
        <w:tc>
          <w:tcPr>
            <w:tcW w:w="3585" w:type="dxa"/>
            <w:tcBorders>
              <w:bottom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《点播影院、点播院线管理规定》第三十条第一款：违反本规定，擅自从事点播影院、点播院线电影放映、发行活动的，依照《中华人民共和国电影产业促进法》第四十七条的规定予以处罚。</w:t>
            </w:r>
            <w:r>
              <w:rPr>
                <w:rFonts w:hint="eastAsia" w:ascii="仿宋_GB2312" w:eastAsia="仿宋_GB2312"/>
                <w:color w:val="000000" w:themeColor="text1"/>
                <w:sz w:val="21"/>
                <w:szCs w:val="21"/>
              </w:rPr>
              <w:br w:type="textWrapping"/>
            </w:r>
            <w:r>
              <w:rPr>
                <w:rFonts w:hint="eastAsia" w:ascii="仿宋_GB2312" w:eastAsia="仿宋_GB2312"/>
                <w:color w:val="000000" w:themeColor="text1"/>
                <w:sz w:val="21"/>
                <w:szCs w:val="21"/>
              </w:rPr>
              <w:t>《中华人民共和国电影产业促进法》第四十七条 违反本法规定擅自从事电影摄制、发行、放映活动的，由县级以上人民政府电影主管部门予以取缔，没收电影片和违法所得以及从事违法活动的专用工具、设备；违法所得五万元以上的，并处违法所得五倍以上十倍以下的罚款；没有违法所得或者违法所得不足五万元的，可以并处二十五万元以下的罚款。</w:t>
            </w:r>
          </w:p>
        </w:tc>
        <w:tc>
          <w:tcPr>
            <w:tcW w:w="1082" w:type="dxa"/>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第五条</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第六条</w:t>
            </w:r>
          </w:p>
        </w:tc>
        <w:tc>
          <w:tcPr>
            <w:tcW w:w="1874" w:type="dxa"/>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《点播影院、点播院线管理规定》第三十条第一款、《中华人民共和国电影产业促进法》第四十七条</w:t>
            </w:r>
          </w:p>
        </w:tc>
        <w:tc>
          <w:tcPr>
            <w:tcW w:w="3838" w:type="dxa"/>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一、没有违法所得或者违法所得不足五万元的：没收电影片和违法所得以及从事违法活动的专用工具、设备，并处罚款：</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1、没有违法所得的，不处罚款；                </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2、违法所得2万元以下的，并处</w:t>
            </w:r>
            <w:r>
              <w:rPr>
                <w:rFonts w:hint="eastAsia" w:ascii="仿宋_GB2312" w:eastAsia="仿宋_GB2312"/>
                <w:color w:val="000000" w:themeColor="text1"/>
                <w:sz w:val="21"/>
                <w:szCs w:val="21"/>
                <w:lang w:val="en-US" w:eastAsia="zh-CN"/>
              </w:rPr>
              <w:t>5</w:t>
            </w:r>
            <w:r>
              <w:rPr>
                <w:rFonts w:hint="eastAsia" w:ascii="仿宋_GB2312" w:eastAsia="仿宋_GB2312"/>
                <w:color w:val="000000" w:themeColor="text1"/>
                <w:sz w:val="21"/>
                <w:szCs w:val="21"/>
              </w:rPr>
              <w:t xml:space="preserve">万元罚款；     </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3、违法所得2万元以上5万元以下并在社会上造成恶劣影响的，或有其他严重情节的，并处25万元罚款。</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二、违法所得5万元以上的：没收电影片和违法所得以及从事违法活动的专用工具、设备，并处罚款：               </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 1、违法所得5万元以上20万元以下的，处违法所得5倍的罚款；</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2、违法所得20万元以上的，处违法所得6倍的罚款；</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3、在社会上造成恶劣影响的，或有其他严重情节的，处违法所得10倍的罚款。</w:t>
            </w:r>
          </w:p>
        </w:tc>
        <w:tc>
          <w:tcPr>
            <w:tcW w:w="1064" w:type="dxa"/>
            <w:shd w:val="clear" w:color="auto" w:fill="auto"/>
            <w:vAlign w:val="center"/>
          </w:tcPr>
          <w:p>
            <w:pPr>
              <w:jc w:val="both"/>
              <w:rPr>
                <w:rFonts w:ascii="仿宋_GB2312" w:eastAsia="仿宋_GB2312"/>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4095" w:hRule="atLeast"/>
          <w:jc w:val="center"/>
        </w:trPr>
        <w:tc>
          <w:tcPr>
            <w:tcW w:w="418" w:type="dxa"/>
            <w:shd w:val="clear" w:color="auto" w:fill="auto"/>
            <w:vAlign w:val="center"/>
          </w:tcPr>
          <w:p>
            <w:pPr>
              <w:jc w:val="center"/>
              <w:rPr>
                <w:rFonts w:ascii="仿宋_GB2312" w:eastAsia="仿宋_GB2312"/>
                <w:color w:val="000000" w:themeColor="text1"/>
                <w:sz w:val="21"/>
                <w:szCs w:val="21"/>
              </w:rPr>
            </w:pPr>
            <w:r>
              <w:rPr>
                <w:rFonts w:hint="eastAsia" w:ascii="仿宋_GB2312" w:eastAsia="仿宋_GB2312"/>
                <w:color w:val="000000" w:themeColor="text1"/>
                <w:sz w:val="21"/>
                <w:szCs w:val="21"/>
              </w:rPr>
              <w:t>2</w:t>
            </w:r>
          </w:p>
        </w:tc>
        <w:tc>
          <w:tcPr>
            <w:tcW w:w="2127" w:type="dxa"/>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伪造、变造、出租、出借、买卖或者以其他形式非法转让有关电影放映、发行许可证件，或者以欺骗、贿赂等不正当手段取得许可证件</w:t>
            </w:r>
          </w:p>
        </w:tc>
        <w:tc>
          <w:tcPr>
            <w:tcW w:w="3585" w:type="dxa"/>
            <w:tcBorders>
              <w:top w:val="single" w:color="auto" w:sz="4" w:space="0"/>
              <w:bottom w:val="single" w:color="auto" w:sz="4" w:space="0"/>
            </w:tcBorders>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《点播影院、点播院线管理规定》第三十条第二款： 伪造、变造、出租、出借、买卖或者以其他形式非法转让有关电影放映、发行许可证件，或者以欺骗、贿赂等不正当手段取得上述许可证件的，依照《中华人民共和国电影产业促进法》第四十八条的规定予以处罚。</w:t>
            </w:r>
            <w:r>
              <w:rPr>
                <w:rFonts w:hint="eastAsia" w:ascii="仿宋_GB2312" w:eastAsia="仿宋_GB2312"/>
                <w:color w:val="000000" w:themeColor="text1"/>
                <w:sz w:val="21"/>
                <w:szCs w:val="21"/>
              </w:rPr>
              <w:br w:type="textWrapping"/>
            </w:r>
            <w:r>
              <w:rPr>
                <w:rFonts w:hint="eastAsia" w:ascii="仿宋_GB2312" w:eastAsia="仿宋_GB2312"/>
                <w:color w:val="000000" w:themeColor="text1"/>
                <w:sz w:val="21"/>
                <w:szCs w:val="21"/>
              </w:rPr>
              <w:t>《中华人民共和国电影产业促进法》第四十八条有下列情形之一的，由原发证机关吊销有关许可证、撤销有关批准或者证明文件；县级以上人民政府电影主管部门没收违法所得；违法所得五万元以上的，并处违法所得五倍以上十倍以下的罚款；没有违法所得或者违法所得不足五万元的，可以并处二十五万元以下的罚款：（一）伪造、变造、出租、出借、买卖本法规定的许可证、批准或者证明文件，或者以其他形式非法转让本法规定的许可证、批准或者证明文件的；（二）以欺骗、贿赂等不正当手段取得本法规定的许可证、批准或者证明文件的。</w:t>
            </w:r>
          </w:p>
        </w:tc>
        <w:tc>
          <w:tcPr>
            <w:tcW w:w="1082" w:type="dxa"/>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第三十条第二款</w:t>
            </w:r>
          </w:p>
        </w:tc>
        <w:tc>
          <w:tcPr>
            <w:tcW w:w="1874" w:type="dxa"/>
            <w:shd w:val="clear" w:color="000000" w:fill="FFFFFF"/>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《点播影院、点播院线管理规定》第三十条第二款、《中华人民共和国电影产业促进法》第四十八条</w:t>
            </w:r>
          </w:p>
        </w:tc>
        <w:tc>
          <w:tcPr>
            <w:tcW w:w="3838" w:type="dxa"/>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一、没有违法所得或者违法所得不足五万元的：由原发证机关吊销有关许可证、撤销有关批准或者证明文件；没收违法所得，并处罚款：</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1、没有违法所得的，并处2万元罚款；                </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2、违法所得2万元以下的，并处10万元罚款；     </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3、违法所得2万元以上5万元以下并在社会上造成恶劣影响的，或有其他严重情节的，并处25万元罚款。</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二、违法所得5万元以上的：由原发证机关吊销有关许可证、撤销有关批准或者证明文件；没收违法所得，并处罚款：                 </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 1、违法所得5万元以上20万元以下的，处违法所得5倍的罚款；</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2、违法所得20万元以上的，处违法所得6倍的罚款；</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3、在社会上造成恶劣影响的，或有其他严重情节的，处违法所得10倍的罚款。</w:t>
            </w:r>
          </w:p>
        </w:tc>
        <w:tc>
          <w:tcPr>
            <w:tcW w:w="1064" w:type="dxa"/>
            <w:shd w:val="clear" w:color="auto" w:fill="auto"/>
            <w:vAlign w:val="center"/>
          </w:tcPr>
          <w:p>
            <w:pPr>
              <w:jc w:val="both"/>
              <w:rPr>
                <w:rFonts w:ascii="仿宋_GB2312" w:eastAsia="仿宋_GB2312"/>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7276" w:hRule="atLeast"/>
          <w:jc w:val="center"/>
        </w:trPr>
        <w:tc>
          <w:tcPr>
            <w:tcW w:w="418" w:type="dxa"/>
            <w:shd w:val="clear" w:color="auto" w:fill="auto"/>
            <w:vAlign w:val="center"/>
          </w:tcPr>
          <w:p>
            <w:pPr>
              <w:jc w:val="center"/>
              <w:rPr>
                <w:rFonts w:ascii="仿宋_GB2312" w:eastAsia="仿宋_GB2312"/>
                <w:color w:val="000000" w:themeColor="text1"/>
                <w:sz w:val="21"/>
                <w:szCs w:val="21"/>
              </w:rPr>
            </w:pPr>
            <w:r>
              <w:rPr>
                <w:rFonts w:hint="eastAsia" w:ascii="仿宋_GB2312" w:eastAsia="仿宋_GB2312"/>
                <w:color w:val="000000" w:themeColor="text1"/>
                <w:sz w:val="21"/>
                <w:szCs w:val="21"/>
              </w:rPr>
              <w:t>3</w:t>
            </w:r>
          </w:p>
        </w:tc>
        <w:tc>
          <w:tcPr>
            <w:tcW w:w="2127" w:type="dxa"/>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放映、发行未获得电影公映许可的电影</w:t>
            </w:r>
          </w:p>
        </w:tc>
        <w:tc>
          <w:tcPr>
            <w:tcW w:w="3585" w:type="dxa"/>
            <w:tcBorders>
              <w:top w:val="single" w:color="auto" w:sz="4" w:space="0"/>
            </w:tcBorders>
            <w:shd w:val="clear" w:color="000000" w:fill="FFFFFF"/>
            <w:vAlign w:val="center"/>
          </w:tcPr>
          <w:p>
            <w:pPr>
              <w:rPr>
                <w:rFonts w:hint="eastAsia" w:ascii="仿宋_GB2312" w:eastAsia="仿宋_GB2312"/>
                <w:color w:val="000000" w:themeColor="text1"/>
                <w:sz w:val="21"/>
                <w:szCs w:val="21"/>
              </w:rPr>
            </w:pPr>
            <w:r>
              <w:rPr>
                <w:rFonts w:hint="eastAsia" w:ascii="仿宋_GB2312" w:eastAsia="仿宋_GB2312"/>
                <w:color w:val="000000" w:themeColor="text1"/>
                <w:sz w:val="21"/>
                <w:szCs w:val="21"/>
              </w:rPr>
              <w:t>《点播影院、点播院线管理规定》第三十一条违反本规定，放映、发行未获得电影公映许可的电影的，依照《中华人民共和国电影产业促进法》第四十九条的规定予以处罚。</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br w:type="textWrapping"/>
            </w:r>
            <w:r>
              <w:rPr>
                <w:rFonts w:hint="eastAsia" w:ascii="仿宋_GB2312" w:eastAsia="仿宋_GB2312"/>
                <w:color w:val="000000" w:themeColor="text1"/>
                <w:sz w:val="21"/>
                <w:szCs w:val="21"/>
              </w:rPr>
              <w:t>《中华人民共和国电影产业促进法》第四十九条有下列情形之一的，由原发证机关吊销许可证；县级以上人民政府电影主管部门没收电影片和违法所得；违法所得五万元以上的，并处违法所得十倍以上二十倍以下的罚款；没有违法所得或者违法所得不足五万元的，可以并处五十万元以下的罚款：</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（一）发行、放映未取得电影公映许可证的电影的；</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（二）取得电影公映许可证后变更电影内容，未依照规定重新取得电影公映许可证擅自发行、放映、送展的；</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（三）提供未取得电影公映许可证的电影参加电影节（展）的。</w:t>
            </w:r>
          </w:p>
        </w:tc>
        <w:tc>
          <w:tcPr>
            <w:tcW w:w="1082" w:type="dxa"/>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第十六条</w:t>
            </w:r>
          </w:p>
        </w:tc>
        <w:tc>
          <w:tcPr>
            <w:tcW w:w="1874" w:type="dxa"/>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《点播影院、点播院线管理规定》第三十一条、《中华人民共和国电影产业促进法》第四十九条</w:t>
            </w:r>
          </w:p>
        </w:tc>
        <w:tc>
          <w:tcPr>
            <w:tcW w:w="3838" w:type="dxa"/>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一、没有违法所得或者违法所得不足五万元的：由原发证机关吊销许可证，没收电影片和违法所得，并处罚款：</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1、没有违法所得的，并处5万元罚款；                </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2、违法所得2万元以下的，并处20万元罚款；     </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3、违法所得2万元以上5万元以下并在社会上造成恶劣影响的，或有其他严重情节的，并处50万元罚款。</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二、违法所得5万元以上的：由原发证机关吊销许可证，没收电影片和违法所得，并处罚款：                 </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 1、违法所得5万元以上的，处违法所得10倍的罚款；</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2、在社会上造成恶劣影响的，或有其他严重情节的，处违法所得20倍的罚款。</w:t>
            </w:r>
          </w:p>
        </w:tc>
        <w:tc>
          <w:tcPr>
            <w:tcW w:w="1064" w:type="dxa"/>
            <w:shd w:val="clear" w:color="auto" w:fill="auto"/>
            <w:vAlign w:val="center"/>
          </w:tcPr>
          <w:p>
            <w:pPr>
              <w:jc w:val="both"/>
              <w:rPr>
                <w:rFonts w:ascii="仿宋_GB2312" w:eastAsia="仿宋_GB2312"/>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624" w:hRule="atLeast"/>
          <w:jc w:val="center"/>
        </w:trPr>
        <w:tc>
          <w:tcPr>
            <w:tcW w:w="418" w:type="dxa"/>
            <w:shd w:val="clear" w:color="auto" w:fill="auto"/>
            <w:vAlign w:val="center"/>
          </w:tcPr>
          <w:p>
            <w:pPr>
              <w:jc w:val="center"/>
              <w:rPr>
                <w:rFonts w:ascii="仿宋_GB2312" w:eastAsia="仿宋_GB2312"/>
                <w:color w:val="000000" w:themeColor="text1"/>
                <w:sz w:val="21"/>
                <w:szCs w:val="21"/>
              </w:rPr>
            </w:pPr>
            <w:r>
              <w:rPr>
                <w:rFonts w:hint="eastAsia" w:ascii="仿宋_GB2312" w:eastAsia="仿宋_GB2312"/>
                <w:color w:val="000000" w:themeColor="text1"/>
                <w:sz w:val="21"/>
                <w:szCs w:val="21"/>
              </w:rPr>
              <w:t>4</w:t>
            </w:r>
          </w:p>
        </w:tc>
        <w:tc>
          <w:tcPr>
            <w:tcW w:w="2127" w:type="dxa"/>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制造虚假交易、虚报瞒报销售收入，扰乱电影市场秩序</w:t>
            </w:r>
          </w:p>
        </w:tc>
        <w:tc>
          <w:tcPr>
            <w:tcW w:w="3585" w:type="dxa"/>
            <w:shd w:val="clear" w:color="auto" w:fill="auto"/>
            <w:vAlign w:val="center"/>
          </w:tcPr>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《点播影院、点播院线管理规定》第三十二条 违反本规定，有下列行为之一的，依照《中华人民共和国电影产业促进法》第五十一条的规定予以处罚：（一）制造虚假交易、虚报瞒报销售收入，扰乱电影市场秩序的；</w:t>
            </w:r>
          </w:p>
          <w:p>
            <w:pPr>
              <w:pStyle w:val="5"/>
              <w:shd w:val="clear" w:color="auto" w:fill="FFFFFF"/>
              <w:spacing w:line="240" w:lineRule="exact"/>
              <w:ind w:left="45" w:right="45" w:firstLine="450"/>
              <w:rPr>
                <w:rFonts w:ascii="仿宋_GB2312" w:eastAsia="仿宋_GB2312"/>
                <w:color w:val="000000" w:themeColor="text1"/>
                <w:sz w:val="21"/>
                <w:szCs w:val="21"/>
              </w:rPr>
            </w:pPr>
            <w:r>
              <w:rPr>
                <w:rFonts w:hint="eastAsia" w:ascii="仿宋_GB2312" w:eastAsia="仿宋_GB2312"/>
                <w:color w:val="000000" w:themeColor="text1"/>
                <w:sz w:val="21"/>
                <w:szCs w:val="21"/>
              </w:rPr>
              <w:t>《中华人民共和国电影产业促进法》第五十一条 电影发行企业、电影院等有制造虚假交易、虚报瞒报销售收入等行为，扰乱电影市场秩序的，由县级以上人民政府电影主管部门责令改正，没收违法所得，处五万元以上五十万元以下的罚款；违法所得五十万元以上的，处违法所得一倍以上五倍以下的罚款。情节严重的，责令停业整顿；情节特别严重的，由原发证机关吊销许可证。</w:t>
            </w:r>
          </w:p>
        </w:tc>
        <w:tc>
          <w:tcPr>
            <w:tcW w:w="1082" w:type="dxa"/>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第三十二条第（一）项</w:t>
            </w:r>
          </w:p>
        </w:tc>
        <w:tc>
          <w:tcPr>
            <w:tcW w:w="1874" w:type="dxa"/>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《点播影院、点播院线管理规定》第三十二条第（一）项、《中华人民共和国电影产业促进法》第五十一条</w:t>
            </w:r>
          </w:p>
        </w:tc>
        <w:tc>
          <w:tcPr>
            <w:tcW w:w="3838" w:type="dxa"/>
            <w:shd w:val="clear" w:color="auto" w:fill="auto"/>
            <w:vAlign w:val="center"/>
          </w:tcPr>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一、违法所得50万元以下的：没收违法所得，并处罚款：             </w:t>
            </w:r>
          </w:p>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1、虚报瞒报销售收入30万元以下的，并处5万元罚款；     </w:t>
            </w:r>
          </w:p>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2、虚报瞒报销售收入30万元以上50万元以下的，并处20万元罚款；</w:t>
            </w:r>
          </w:p>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3、在社会上造成严重影响的，或有其他严重情节的，并处50万元罚款。</w:t>
            </w:r>
          </w:p>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二、违法所得50万元以上的：没收违法所得，并处罚款：                 </w:t>
            </w:r>
          </w:p>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 1、虚报瞒报销售收入50万以上100万元以下，处违法所得1倍的罚款；</w:t>
            </w:r>
          </w:p>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2、虚报瞒报销售收入100万元以上，处违法所得2倍的罚款；</w:t>
            </w:r>
          </w:p>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三、情节严重的，责令停业整顿；</w:t>
            </w:r>
          </w:p>
          <w:p>
            <w:pPr>
              <w:spacing w:line="24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四、情节特别严重的，或在社会上造成恶劣影响的，或造成其他严重后果的，由原发证机关吊销许可证。</w:t>
            </w:r>
          </w:p>
        </w:tc>
        <w:tc>
          <w:tcPr>
            <w:tcW w:w="1064" w:type="dxa"/>
            <w:shd w:val="clear" w:color="auto" w:fill="auto"/>
            <w:vAlign w:val="center"/>
          </w:tcPr>
          <w:p>
            <w:pPr>
              <w:jc w:val="both"/>
              <w:rPr>
                <w:rFonts w:ascii="仿宋_GB2312" w:eastAsia="仿宋_GB2312"/>
                <w:color w:val="000000" w:themeColor="text1"/>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1875" w:hRule="atLeast"/>
          <w:jc w:val="center"/>
        </w:trPr>
        <w:tc>
          <w:tcPr>
            <w:tcW w:w="418" w:type="dxa"/>
            <w:shd w:val="clear" w:color="auto" w:fill="auto"/>
            <w:vAlign w:val="center"/>
          </w:tcPr>
          <w:p>
            <w:pPr>
              <w:jc w:val="center"/>
              <w:rPr>
                <w:rFonts w:ascii="仿宋_GB2312" w:eastAsia="仿宋_GB2312"/>
                <w:color w:val="000000" w:themeColor="text1"/>
                <w:sz w:val="21"/>
                <w:szCs w:val="21"/>
              </w:rPr>
            </w:pPr>
            <w:r>
              <w:rPr>
                <w:rFonts w:hint="eastAsia" w:ascii="仿宋_GB2312" w:eastAsia="仿宋_GB2312"/>
                <w:color w:val="000000" w:themeColor="text1"/>
                <w:sz w:val="21"/>
                <w:szCs w:val="21"/>
              </w:rPr>
              <w:t>5</w:t>
            </w:r>
          </w:p>
        </w:tc>
        <w:tc>
          <w:tcPr>
            <w:tcW w:w="2127" w:type="dxa"/>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在电影开始放映之后至放映结束前放映广告</w:t>
            </w:r>
          </w:p>
        </w:tc>
        <w:tc>
          <w:tcPr>
            <w:tcW w:w="3585" w:type="dxa"/>
            <w:shd w:val="clear" w:color="auto" w:fill="auto"/>
            <w:vAlign w:val="center"/>
          </w:tcPr>
          <w:p>
            <w:pPr>
              <w:spacing w:line="220" w:lineRule="exact"/>
              <w:rPr>
                <w:rFonts w:ascii="仿宋_GB2312" w:eastAsia="仿宋_GB2312"/>
                <w:color w:val="000000" w:themeColor="text1"/>
                <w:sz w:val="21"/>
                <w:szCs w:val="21"/>
              </w:rPr>
            </w:pPr>
            <w:r>
              <w:rPr>
                <w:rFonts w:hint="eastAsia" w:ascii="仿宋_GB2312" w:eastAsia="仿宋_GB2312"/>
                <w:color w:val="000000" w:themeColor="text1"/>
                <w:sz w:val="21"/>
                <w:szCs w:val="21"/>
              </w:rPr>
              <w:t>《点播影院、点播院线管理规定》第三十二条 违反本规定，有下列行为之一的，依照《中华人民共和国电影产业促进法》第五十一条的规定予以处罚：（二）在电影开始放映之后至放映结束前放映广告的。</w:t>
            </w:r>
          </w:p>
          <w:p>
            <w:pPr>
              <w:pStyle w:val="5"/>
              <w:shd w:val="clear" w:color="auto" w:fill="FFFFFF"/>
              <w:spacing w:after="225" w:line="220" w:lineRule="exact"/>
              <w:ind w:left="45" w:right="45"/>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《中华人民共和国电影产业促进法》第五十一条 </w:t>
            </w:r>
            <w:r>
              <w:rPr>
                <w:rFonts w:ascii="仿宋_GB2312" w:eastAsia="仿宋_GB2312"/>
                <w:color w:val="000000" w:themeColor="text1"/>
                <w:sz w:val="21"/>
                <w:szCs w:val="21"/>
              </w:rPr>
              <w:t xml:space="preserve">  </w:t>
            </w:r>
            <w:r>
              <w:rPr>
                <w:rFonts w:hint="eastAsia" w:ascii="仿宋_GB2312" w:eastAsia="仿宋_GB2312"/>
                <w:color w:val="000000" w:themeColor="text1"/>
                <w:sz w:val="21"/>
                <w:szCs w:val="21"/>
              </w:rPr>
              <w:t>电影院在向观众明示的电影开始放映时间之后至电影放映结束前放映广告的，由县级人民政府电影主管部门给予警告，责令改正；情节严重的，处一万元以上五万元以下的罚款。</w:t>
            </w:r>
          </w:p>
        </w:tc>
        <w:tc>
          <w:tcPr>
            <w:tcW w:w="1082" w:type="dxa"/>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第三十二条第（二）项</w:t>
            </w:r>
          </w:p>
        </w:tc>
        <w:tc>
          <w:tcPr>
            <w:tcW w:w="1874" w:type="dxa"/>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《点播影院、点播院线管理规定》第三十二条第（二）项、《中华人民共和国电影产业促进法》第五十一条</w:t>
            </w:r>
          </w:p>
        </w:tc>
        <w:tc>
          <w:tcPr>
            <w:tcW w:w="3838" w:type="dxa"/>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1、2年内第1次查处的：警告；</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 xml:space="preserve">2、2年内第2次查处的：处1万元罚款；                     </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3、2年内3次以上查处的，或在社会上造成恶劣影响的，或有其他严重情节的，处5万元罚款。</w:t>
            </w:r>
          </w:p>
        </w:tc>
        <w:tc>
          <w:tcPr>
            <w:tcW w:w="1064" w:type="dxa"/>
            <w:shd w:val="clear" w:color="auto" w:fill="auto"/>
            <w:vAlign w:val="center"/>
          </w:tcPr>
          <w:p>
            <w:pPr>
              <w:jc w:val="both"/>
              <w:rPr>
                <w:rFonts w:ascii="仿宋_GB2312" w:eastAsia="仿宋_GB2312"/>
                <w:color w:val="000000" w:themeColor="text1"/>
                <w:sz w:val="21"/>
                <w:szCs w:val="21"/>
              </w:rPr>
            </w:pPr>
            <w:r>
              <w:rPr>
                <w:rFonts w:hint="eastAsia" w:ascii="仿宋_GB2312" w:eastAsia="仿宋_GB2312"/>
                <w:color w:val="000000" w:themeColor="text1"/>
                <w:sz w:val="21"/>
                <w:szCs w:val="21"/>
              </w:rPr>
              <w:t>轻微违法行为，可使用简易程序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1875" w:hRule="atLeast"/>
          <w:jc w:val="center"/>
        </w:trPr>
        <w:tc>
          <w:tcPr>
            <w:tcW w:w="418" w:type="dxa"/>
            <w:shd w:val="clear" w:color="auto" w:fill="auto"/>
            <w:vAlign w:val="center"/>
          </w:tcPr>
          <w:p>
            <w:pPr>
              <w:jc w:val="center"/>
              <w:rPr>
                <w:rFonts w:ascii="仿宋_GB2312" w:eastAsia="仿宋_GB2312"/>
                <w:color w:val="000000" w:themeColor="text1"/>
                <w:sz w:val="21"/>
                <w:szCs w:val="21"/>
              </w:rPr>
            </w:pPr>
            <w:r>
              <w:rPr>
                <w:rFonts w:hint="eastAsia" w:ascii="仿宋_GB2312" w:eastAsia="仿宋_GB2312"/>
                <w:color w:val="000000" w:themeColor="text1"/>
                <w:sz w:val="21"/>
                <w:szCs w:val="21"/>
              </w:rPr>
              <w:t>6</w:t>
            </w:r>
          </w:p>
        </w:tc>
        <w:tc>
          <w:tcPr>
            <w:tcW w:w="2127" w:type="dxa"/>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未按时办理点播影院编码、点播院线编码登记</w:t>
            </w:r>
          </w:p>
        </w:tc>
        <w:tc>
          <w:tcPr>
            <w:tcW w:w="3585" w:type="dxa"/>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《点播影院、点播院线管理规定》第三十三条 违反本规定，有下列行为之一的，由县级以上人民政府电影主管部门责令限期改正，给予警告，可以并处3万元以下的罚款：</w:t>
            </w:r>
            <w:r>
              <w:rPr>
                <w:rFonts w:hint="eastAsia" w:ascii="仿宋_GB2312" w:eastAsia="仿宋_GB2312"/>
                <w:color w:val="000000" w:themeColor="text1"/>
                <w:sz w:val="21"/>
                <w:szCs w:val="21"/>
              </w:rPr>
              <w:br w:type="textWrapping"/>
            </w:r>
            <w:r>
              <w:rPr>
                <w:rFonts w:hint="eastAsia" w:ascii="仿宋_GB2312" w:eastAsia="仿宋_GB2312"/>
                <w:color w:val="000000" w:themeColor="text1"/>
                <w:sz w:val="21"/>
                <w:szCs w:val="21"/>
              </w:rPr>
              <w:t>（一）未按时办理点播影院编码、点播院线编码登记的；</w:t>
            </w:r>
          </w:p>
        </w:tc>
        <w:tc>
          <w:tcPr>
            <w:tcW w:w="1082" w:type="dxa"/>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第十二条第一款</w:t>
            </w:r>
          </w:p>
        </w:tc>
        <w:tc>
          <w:tcPr>
            <w:tcW w:w="1874" w:type="dxa"/>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第三十三条第（一）项</w:t>
            </w:r>
          </w:p>
        </w:tc>
        <w:tc>
          <w:tcPr>
            <w:tcW w:w="3838" w:type="dxa"/>
            <w:vMerge w:val="restart"/>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1、2年内第1次查处，警告；</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2、2年内第2次查处，警告，并处1万元罚款；</w:t>
            </w:r>
          </w:p>
          <w:p>
            <w:pPr>
              <w:rPr>
                <w:rFonts w:ascii="仿宋_GB2312" w:eastAsia="仿宋_GB2312"/>
                <w:color w:val="000000" w:themeColor="text1"/>
                <w:sz w:val="21"/>
                <w:szCs w:val="21"/>
              </w:rPr>
            </w:pPr>
            <w:r>
              <w:rPr>
                <w:rFonts w:hint="eastAsia" w:ascii="仿宋_GB2312" w:eastAsia="仿宋_GB2312"/>
                <w:color w:val="000000" w:themeColor="text1"/>
                <w:sz w:val="21"/>
                <w:szCs w:val="21"/>
              </w:rPr>
              <w:t>3、2年内3次以上查处的，或在社会上造成恶劣影响的，或有其他严重情节的，警告，并处3万元罚款。</w:t>
            </w:r>
          </w:p>
        </w:tc>
        <w:tc>
          <w:tcPr>
            <w:tcW w:w="1064" w:type="dxa"/>
            <w:shd w:val="clear" w:color="auto" w:fill="auto"/>
            <w:vAlign w:val="center"/>
          </w:tcPr>
          <w:p>
            <w:pPr>
              <w:jc w:val="both"/>
              <w:rPr>
                <w:rFonts w:ascii="仿宋_GB2312" w:eastAsia="仿宋_GB2312"/>
                <w:color w:val="000000" w:themeColor="text1"/>
                <w:sz w:val="21"/>
                <w:szCs w:val="21"/>
              </w:rPr>
            </w:pPr>
            <w:r>
              <w:rPr>
                <w:rFonts w:hint="eastAsia" w:ascii="仿宋_GB2312" w:eastAsia="仿宋_GB2312"/>
                <w:color w:val="000000" w:themeColor="text1"/>
                <w:sz w:val="21"/>
                <w:szCs w:val="21"/>
              </w:rPr>
              <w:t>轻微违法行为，可使用简易程序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1875" w:hRule="atLeast"/>
          <w:jc w:val="center"/>
        </w:trPr>
        <w:tc>
          <w:tcPr>
            <w:tcW w:w="418" w:type="dxa"/>
            <w:shd w:val="clear" w:color="auto" w:fill="auto"/>
            <w:vAlign w:val="center"/>
          </w:tcPr>
          <w:p>
            <w:pPr>
              <w:jc w:val="center"/>
              <w:rPr>
                <w:rFonts w:ascii="仿宋_GB2312" w:eastAsia="仿宋_GB2312"/>
                <w:color w:val="000000" w:themeColor="text1"/>
                <w:sz w:val="21"/>
                <w:szCs w:val="21"/>
              </w:rPr>
            </w:pPr>
            <w:r>
              <w:rPr>
                <w:rFonts w:hint="eastAsia" w:ascii="仿宋_GB2312" w:eastAsia="仿宋_GB2312"/>
                <w:color w:val="000000" w:themeColor="text1"/>
                <w:sz w:val="21"/>
                <w:szCs w:val="21"/>
              </w:rPr>
              <w:t>7</w:t>
            </w:r>
          </w:p>
        </w:tc>
        <w:tc>
          <w:tcPr>
            <w:tcW w:w="2127" w:type="dxa"/>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点播影院放映所加入点播院线发行范围之外的影片</w:t>
            </w:r>
          </w:p>
        </w:tc>
        <w:tc>
          <w:tcPr>
            <w:tcW w:w="3585" w:type="dxa"/>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《点播影院、点播院线管理规定》第三十三条 违反本规定，有下列行为之一的，由县级以上人民政府电影主管部门责令限期改正，给予警告，可以并处3万元以下的罚款：（二）点播影院放映所加入点播院线发行范围之外的影片的；</w:t>
            </w:r>
          </w:p>
        </w:tc>
        <w:tc>
          <w:tcPr>
            <w:tcW w:w="1082" w:type="dxa"/>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第十五条第二款</w:t>
            </w:r>
          </w:p>
        </w:tc>
        <w:tc>
          <w:tcPr>
            <w:tcW w:w="1874" w:type="dxa"/>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第三十三条第（二）项</w:t>
            </w:r>
          </w:p>
        </w:tc>
        <w:tc>
          <w:tcPr>
            <w:tcW w:w="3838" w:type="dxa"/>
            <w:vMerge w:val="continue"/>
            <w:shd w:val="clear" w:color="auto" w:fill="auto"/>
            <w:vAlign w:val="center"/>
          </w:tcPr>
          <w:p>
            <w:pPr>
              <w:rPr>
                <w:rFonts w:ascii="仿宋_GB2312" w:eastAsia="仿宋_GB2312"/>
                <w:color w:val="000000" w:themeColor="text1"/>
                <w:sz w:val="21"/>
                <w:szCs w:val="21"/>
              </w:rPr>
            </w:pPr>
          </w:p>
        </w:tc>
        <w:tc>
          <w:tcPr>
            <w:tcW w:w="1064" w:type="dxa"/>
            <w:shd w:val="clear" w:color="auto" w:fill="auto"/>
            <w:vAlign w:val="center"/>
          </w:tcPr>
          <w:p>
            <w:pPr>
              <w:jc w:val="both"/>
              <w:rPr>
                <w:color w:val="000000" w:themeColor="text1"/>
              </w:rPr>
            </w:pPr>
            <w:r>
              <w:rPr>
                <w:rFonts w:hint="eastAsia" w:ascii="仿宋_GB2312" w:eastAsia="仿宋_GB2312"/>
                <w:color w:val="000000" w:themeColor="text1"/>
                <w:sz w:val="21"/>
                <w:szCs w:val="21"/>
              </w:rPr>
              <w:t>轻微违法行为，可使用简易程序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1875" w:hRule="atLeast"/>
          <w:jc w:val="center"/>
        </w:trPr>
        <w:tc>
          <w:tcPr>
            <w:tcW w:w="418" w:type="dxa"/>
            <w:shd w:val="clear" w:color="auto" w:fill="auto"/>
            <w:vAlign w:val="center"/>
          </w:tcPr>
          <w:p>
            <w:pPr>
              <w:jc w:val="center"/>
              <w:rPr>
                <w:rFonts w:ascii="仿宋_GB2312" w:eastAsia="仿宋_GB2312"/>
                <w:color w:val="000000" w:themeColor="text1"/>
                <w:sz w:val="21"/>
                <w:szCs w:val="21"/>
              </w:rPr>
            </w:pPr>
            <w:r>
              <w:rPr>
                <w:rFonts w:hint="eastAsia" w:ascii="仿宋_GB2312" w:eastAsia="仿宋_GB2312"/>
                <w:color w:val="000000" w:themeColor="text1"/>
                <w:sz w:val="21"/>
                <w:szCs w:val="21"/>
              </w:rPr>
              <w:t>8</w:t>
            </w:r>
          </w:p>
        </w:tc>
        <w:tc>
          <w:tcPr>
            <w:tcW w:w="2127" w:type="dxa"/>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点播院线未按时报送经营数据</w:t>
            </w:r>
          </w:p>
        </w:tc>
        <w:tc>
          <w:tcPr>
            <w:tcW w:w="3585" w:type="dxa"/>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《点播影院、点播院线管理规定》第三十三条 违反本规定，有下列行为之一的，由县级以上人民政府电影主管部门责令限期改正，给予警告，可以并处3万元以下的罚款：（三）点播院线未按时报送经营数据的；</w:t>
            </w:r>
          </w:p>
        </w:tc>
        <w:tc>
          <w:tcPr>
            <w:tcW w:w="1082" w:type="dxa"/>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第二十四条第一款、第二款</w:t>
            </w:r>
          </w:p>
        </w:tc>
        <w:tc>
          <w:tcPr>
            <w:tcW w:w="1874" w:type="dxa"/>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第三十三条第（三）项</w:t>
            </w:r>
          </w:p>
        </w:tc>
        <w:tc>
          <w:tcPr>
            <w:tcW w:w="3838" w:type="dxa"/>
            <w:vMerge w:val="continue"/>
            <w:shd w:val="clear" w:color="auto" w:fill="auto"/>
            <w:vAlign w:val="center"/>
          </w:tcPr>
          <w:p>
            <w:pPr>
              <w:rPr>
                <w:rFonts w:ascii="仿宋_GB2312" w:eastAsia="仿宋_GB2312"/>
                <w:color w:val="000000" w:themeColor="text1"/>
                <w:sz w:val="21"/>
                <w:szCs w:val="21"/>
              </w:rPr>
            </w:pPr>
          </w:p>
        </w:tc>
        <w:tc>
          <w:tcPr>
            <w:tcW w:w="1064" w:type="dxa"/>
            <w:shd w:val="clear" w:color="auto" w:fill="auto"/>
            <w:vAlign w:val="center"/>
          </w:tcPr>
          <w:p>
            <w:pPr>
              <w:jc w:val="both"/>
              <w:rPr>
                <w:color w:val="000000" w:themeColor="text1"/>
              </w:rPr>
            </w:pPr>
            <w:r>
              <w:rPr>
                <w:rFonts w:hint="eastAsia" w:ascii="仿宋_GB2312" w:eastAsia="仿宋_GB2312"/>
                <w:color w:val="000000" w:themeColor="text1"/>
                <w:sz w:val="21"/>
                <w:szCs w:val="21"/>
              </w:rPr>
              <w:t>轻微违法行为，可使用简易程序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1875" w:hRule="atLeast"/>
          <w:jc w:val="center"/>
        </w:trPr>
        <w:tc>
          <w:tcPr>
            <w:tcW w:w="418" w:type="dxa"/>
            <w:shd w:val="clear" w:color="auto" w:fill="auto"/>
            <w:vAlign w:val="center"/>
          </w:tcPr>
          <w:p>
            <w:pPr>
              <w:jc w:val="center"/>
              <w:rPr>
                <w:rFonts w:ascii="仿宋_GB2312" w:eastAsia="仿宋_GB2312"/>
                <w:color w:val="000000" w:themeColor="text1"/>
                <w:sz w:val="21"/>
                <w:szCs w:val="21"/>
              </w:rPr>
            </w:pPr>
            <w:r>
              <w:rPr>
                <w:rFonts w:hint="eastAsia" w:ascii="仿宋_GB2312" w:eastAsia="仿宋_GB2312"/>
                <w:color w:val="000000" w:themeColor="text1"/>
                <w:sz w:val="21"/>
                <w:szCs w:val="21"/>
              </w:rPr>
              <w:t>9</w:t>
            </w:r>
          </w:p>
        </w:tc>
        <w:tc>
          <w:tcPr>
            <w:tcW w:w="2127" w:type="dxa"/>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点播影院在同一影厅内开展电影院的电影放映活动</w:t>
            </w:r>
          </w:p>
        </w:tc>
        <w:tc>
          <w:tcPr>
            <w:tcW w:w="3585" w:type="dxa"/>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《点播影院、点播院线管理规定》第三十三条 违反本规定，有下列行为之一的，由县级以上人民政府电影主管部门责令限期改正，给予警告，可以并处3万元以下的罚款：（四）点播影院在同一影厅内开展电影院的电影放映活动的；</w:t>
            </w:r>
          </w:p>
        </w:tc>
        <w:tc>
          <w:tcPr>
            <w:tcW w:w="1082" w:type="dxa"/>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第二十条</w:t>
            </w:r>
          </w:p>
        </w:tc>
        <w:tc>
          <w:tcPr>
            <w:tcW w:w="1874" w:type="dxa"/>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第三十三条第（四）项</w:t>
            </w:r>
          </w:p>
        </w:tc>
        <w:tc>
          <w:tcPr>
            <w:tcW w:w="3838" w:type="dxa"/>
            <w:vMerge w:val="restart"/>
            <w:shd w:val="clear" w:color="auto" w:fill="auto"/>
            <w:vAlign w:val="center"/>
          </w:tcPr>
          <w:p>
            <w:pPr>
              <w:rPr>
                <w:rFonts w:ascii="仿宋_GB2312" w:eastAsia="仿宋_GB2312"/>
                <w:color w:val="000000" w:themeColor="text1"/>
                <w:sz w:val="21"/>
                <w:szCs w:val="21"/>
              </w:rPr>
            </w:pPr>
            <w:r>
              <w:rPr>
                <w:rFonts w:ascii="仿宋_GB2312" w:eastAsia="仿宋_GB2312"/>
                <w:color w:val="000000" w:themeColor="text1"/>
                <w:sz w:val="21"/>
                <w:szCs w:val="21"/>
              </w:rPr>
              <w:t>1、2年内第1次查处，警告；</w:t>
            </w:r>
          </w:p>
          <w:p>
            <w:pPr>
              <w:rPr>
                <w:rFonts w:ascii="仿宋_GB2312" w:eastAsia="仿宋_GB2312"/>
                <w:color w:val="000000" w:themeColor="text1"/>
                <w:sz w:val="21"/>
                <w:szCs w:val="21"/>
              </w:rPr>
            </w:pPr>
            <w:r>
              <w:rPr>
                <w:rFonts w:ascii="仿宋_GB2312" w:eastAsia="仿宋_GB2312"/>
                <w:color w:val="000000" w:themeColor="text1"/>
                <w:sz w:val="21"/>
                <w:szCs w:val="21"/>
              </w:rPr>
              <w:t>2、2年内第2次查处，警告，并处1万元罚款；</w:t>
            </w:r>
          </w:p>
          <w:p>
            <w:pPr>
              <w:rPr>
                <w:rFonts w:ascii="仿宋_GB2312" w:eastAsia="仿宋_GB2312"/>
                <w:color w:val="000000" w:themeColor="text1"/>
                <w:sz w:val="21"/>
                <w:szCs w:val="21"/>
              </w:rPr>
            </w:pPr>
            <w:r>
              <w:rPr>
                <w:rFonts w:ascii="仿宋_GB2312" w:eastAsia="仿宋_GB2312"/>
                <w:color w:val="000000" w:themeColor="text1"/>
                <w:sz w:val="21"/>
                <w:szCs w:val="21"/>
              </w:rPr>
              <w:t>3、2年内3次以上查处的，或在社会上造成恶劣影响的，或有其他严重情节的，警告，并处3万元罚款</w:t>
            </w:r>
            <w:bookmarkStart w:id="0" w:name="_GoBack"/>
            <w:bookmarkEnd w:id="0"/>
            <w:r>
              <w:rPr>
                <w:rFonts w:ascii="仿宋_GB2312" w:eastAsia="仿宋_GB2312"/>
                <w:color w:val="000000" w:themeColor="text1"/>
                <w:sz w:val="21"/>
                <w:szCs w:val="21"/>
              </w:rPr>
              <w:t>。</w:t>
            </w:r>
          </w:p>
        </w:tc>
        <w:tc>
          <w:tcPr>
            <w:tcW w:w="1064" w:type="dxa"/>
            <w:shd w:val="clear" w:color="auto" w:fill="auto"/>
            <w:vAlign w:val="center"/>
          </w:tcPr>
          <w:p>
            <w:pPr>
              <w:jc w:val="both"/>
              <w:rPr>
                <w:color w:val="000000" w:themeColor="text1"/>
              </w:rPr>
            </w:pPr>
            <w:r>
              <w:rPr>
                <w:rFonts w:hint="eastAsia" w:ascii="仿宋_GB2312" w:eastAsia="仿宋_GB2312"/>
                <w:color w:val="000000" w:themeColor="text1"/>
                <w:sz w:val="21"/>
                <w:szCs w:val="21"/>
              </w:rPr>
              <w:t>轻微违法行为，可使用简易程序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1875" w:hRule="atLeast"/>
          <w:jc w:val="center"/>
        </w:trPr>
        <w:tc>
          <w:tcPr>
            <w:tcW w:w="418" w:type="dxa"/>
            <w:shd w:val="clear" w:color="auto" w:fill="auto"/>
            <w:vAlign w:val="center"/>
          </w:tcPr>
          <w:p>
            <w:pPr>
              <w:jc w:val="center"/>
              <w:rPr>
                <w:rFonts w:ascii="仿宋_GB2312" w:eastAsia="仿宋_GB2312"/>
                <w:color w:val="000000" w:themeColor="text1"/>
                <w:sz w:val="21"/>
                <w:szCs w:val="21"/>
              </w:rPr>
            </w:pPr>
            <w:r>
              <w:rPr>
                <w:rFonts w:hint="eastAsia" w:ascii="仿宋_GB2312" w:eastAsia="仿宋_GB2312"/>
                <w:color w:val="000000" w:themeColor="text1"/>
                <w:sz w:val="21"/>
                <w:szCs w:val="21"/>
              </w:rPr>
              <w:t>10</w:t>
            </w:r>
          </w:p>
        </w:tc>
        <w:tc>
          <w:tcPr>
            <w:tcW w:w="2127" w:type="dxa"/>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点播院线未有效履行运营管理职责，致使所辖点播影院出现违法行为</w:t>
            </w:r>
          </w:p>
        </w:tc>
        <w:tc>
          <w:tcPr>
            <w:tcW w:w="3585" w:type="dxa"/>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《点播影院、点播院线管理规定》第三十三条 违反本规定，有下列行为之一的，由县级以上人民政府电影主管部门责令限期改正，给予警告，可以并处3万元以下的罚款：（五）点播院线未有效履行运营管理职责，致使所辖点播影院出现违法行为的；</w:t>
            </w:r>
          </w:p>
        </w:tc>
        <w:tc>
          <w:tcPr>
            <w:tcW w:w="1082" w:type="dxa"/>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第三十三条第（五）项</w:t>
            </w:r>
          </w:p>
        </w:tc>
        <w:tc>
          <w:tcPr>
            <w:tcW w:w="1874" w:type="dxa"/>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第三十三条第（五）项</w:t>
            </w:r>
          </w:p>
        </w:tc>
        <w:tc>
          <w:tcPr>
            <w:tcW w:w="3838" w:type="dxa"/>
            <w:vMerge w:val="continue"/>
            <w:shd w:val="clear" w:color="auto" w:fill="auto"/>
            <w:vAlign w:val="center"/>
          </w:tcPr>
          <w:p>
            <w:pPr>
              <w:rPr>
                <w:rFonts w:ascii="仿宋_GB2312" w:eastAsia="仿宋_GB2312"/>
                <w:color w:val="000000" w:themeColor="text1"/>
                <w:sz w:val="21"/>
                <w:szCs w:val="21"/>
              </w:rPr>
            </w:pPr>
          </w:p>
        </w:tc>
        <w:tc>
          <w:tcPr>
            <w:tcW w:w="1064" w:type="dxa"/>
            <w:shd w:val="clear" w:color="auto" w:fill="auto"/>
            <w:vAlign w:val="center"/>
          </w:tcPr>
          <w:p>
            <w:pPr>
              <w:jc w:val="both"/>
              <w:rPr>
                <w:color w:val="000000" w:themeColor="text1"/>
              </w:rPr>
            </w:pPr>
            <w:r>
              <w:rPr>
                <w:rFonts w:hint="eastAsia" w:ascii="仿宋_GB2312" w:eastAsia="仿宋_GB2312"/>
                <w:color w:val="000000" w:themeColor="text1"/>
                <w:sz w:val="21"/>
                <w:szCs w:val="21"/>
              </w:rPr>
              <w:t>轻微违法行为，可使用简易程序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trHeight w:val="2625" w:hRule="atLeast"/>
          <w:jc w:val="center"/>
        </w:trPr>
        <w:tc>
          <w:tcPr>
            <w:tcW w:w="418" w:type="dxa"/>
            <w:shd w:val="clear" w:color="auto" w:fill="auto"/>
            <w:vAlign w:val="center"/>
          </w:tcPr>
          <w:p>
            <w:pPr>
              <w:jc w:val="center"/>
              <w:rPr>
                <w:rFonts w:ascii="仿宋_GB2312" w:eastAsia="仿宋_GB2312"/>
                <w:color w:val="000000" w:themeColor="text1"/>
                <w:sz w:val="21"/>
                <w:szCs w:val="21"/>
              </w:rPr>
            </w:pPr>
            <w:r>
              <w:rPr>
                <w:rFonts w:hint="eastAsia" w:ascii="仿宋_GB2312" w:eastAsia="仿宋_GB2312"/>
                <w:color w:val="000000" w:themeColor="text1"/>
                <w:sz w:val="21"/>
                <w:szCs w:val="21"/>
              </w:rPr>
              <w:t>11</w:t>
            </w:r>
          </w:p>
        </w:tc>
        <w:tc>
          <w:tcPr>
            <w:tcW w:w="2127" w:type="dxa"/>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点播影院、点播院线未按照点播影院技术规范的要求选用计费系统和放映系统设备，放映质量不达标</w:t>
            </w:r>
          </w:p>
        </w:tc>
        <w:tc>
          <w:tcPr>
            <w:tcW w:w="3585" w:type="dxa"/>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《点播影院、点播院线管理规定》第三十三条 违反本规定，有下列行为之一的，由县级以上人民政府电影主管部门责令限期改正，给予警告，可以并处3万元以下的罚款：（六）点播影院、点播院线未按照点播影院技术规范的要求选用计费系统和放映系统设备，放映质量不达标的。</w:t>
            </w:r>
          </w:p>
        </w:tc>
        <w:tc>
          <w:tcPr>
            <w:tcW w:w="1082" w:type="dxa"/>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第二十二条</w:t>
            </w:r>
          </w:p>
        </w:tc>
        <w:tc>
          <w:tcPr>
            <w:tcW w:w="1874" w:type="dxa"/>
            <w:shd w:val="clear" w:color="auto" w:fill="auto"/>
            <w:vAlign w:val="center"/>
          </w:tcPr>
          <w:p>
            <w:pPr>
              <w:rPr>
                <w:rFonts w:ascii="仿宋_GB2312" w:eastAsia="仿宋_GB2312"/>
                <w:color w:val="000000" w:themeColor="text1"/>
                <w:sz w:val="21"/>
                <w:szCs w:val="21"/>
              </w:rPr>
            </w:pPr>
            <w:r>
              <w:rPr>
                <w:rFonts w:hint="eastAsia" w:ascii="仿宋_GB2312" w:eastAsia="仿宋_GB2312"/>
                <w:color w:val="000000" w:themeColor="text1"/>
                <w:sz w:val="21"/>
                <w:szCs w:val="21"/>
              </w:rPr>
              <w:t>第三十三条第（六）项</w:t>
            </w:r>
          </w:p>
        </w:tc>
        <w:tc>
          <w:tcPr>
            <w:tcW w:w="3838" w:type="dxa"/>
            <w:vMerge w:val="continue"/>
            <w:shd w:val="clear" w:color="auto" w:fill="auto"/>
            <w:vAlign w:val="center"/>
          </w:tcPr>
          <w:p>
            <w:pPr>
              <w:rPr>
                <w:rFonts w:ascii="仿宋_GB2312" w:eastAsia="仿宋_GB2312"/>
                <w:color w:val="000000" w:themeColor="text1"/>
                <w:sz w:val="21"/>
                <w:szCs w:val="21"/>
              </w:rPr>
            </w:pPr>
          </w:p>
        </w:tc>
        <w:tc>
          <w:tcPr>
            <w:tcW w:w="1064" w:type="dxa"/>
            <w:shd w:val="clear" w:color="auto" w:fill="auto"/>
            <w:vAlign w:val="center"/>
          </w:tcPr>
          <w:p>
            <w:pPr>
              <w:jc w:val="both"/>
              <w:rPr>
                <w:color w:val="000000" w:themeColor="text1"/>
              </w:rPr>
            </w:pPr>
            <w:r>
              <w:rPr>
                <w:rFonts w:hint="eastAsia" w:ascii="仿宋_GB2312" w:eastAsia="仿宋_GB2312"/>
                <w:color w:val="000000" w:themeColor="text1"/>
                <w:sz w:val="21"/>
                <w:szCs w:val="21"/>
              </w:rPr>
              <w:t>轻微违法行为，可使用简易程序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Ex>
        <w:trPr>
          <w:jc w:val="center"/>
          <w:hidden/>
        </w:trPr>
        <w:tc>
          <w:tcPr>
            <w:tcW w:w="418" w:type="dxa"/>
            <w:shd w:val="clear" w:color="auto" w:fill="auto"/>
            <w:vAlign w:val="center"/>
          </w:tcPr>
          <w:p>
            <w:pPr>
              <w:jc w:val="center"/>
              <w:rPr>
                <w:rFonts w:ascii="仿宋_GB2312" w:eastAsia="仿宋_GB2312"/>
                <w:vanish/>
                <w:color w:val="000000" w:themeColor="text1"/>
                <w:sz w:val="21"/>
                <w:szCs w:val="21"/>
              </w:rPr>
            </w:pPr>
          </w:p>
        </w:tc>
        <w:tc>
          <w:tcPr>
            <w:tcW w:w="2127" w:type="dxa"/>
            <w:shd w:val="clear" w:color="auto" w:fill="auto"/>
            <w:vAlign w:val="center"/>
          </w:tcPr>
          <w:p>
            <w:pPr>
              <w:rPr>
                <w:rFonts w:ascii="仿宋_GB2312" w:eastAsia="仿宋_GB2312"/>
                <w:vanish/>
                <w:color w:val="000000" w:themeColor="text1"/>
                <w:sz w:val="21"/>
                <w:szCs w:val="21"/>
              </w:rPr>
            </w:pPr>
          </w:p>
        </w:tc>
        <w:tc>
          <w:tcPr>
            <w:tcW w:w="3585" w:type="dxa"/>
            <w:shd w:val="clear" w:color="auto" w:fill="auto"/>
            <w:vAlign w:val="center"/>
          </w:tcPr>
          <w:p>
            <w:pPr>
              <w:rPr>
                <w:rFonts w:ascii="仿宋_GB2312" w:eastAsia="仿宋_GB2312"/>
                <w:vanish/>
                <w:color w:val="000000" w:themeColor="text1"/>
                <w:sz w:val="21"/>
                <w:szCs w:val="21"/>
              </w:rPr>
            </w:pPr>
          </w:p>
        </w:tc>
        <w:tc>
          <w:tcPr>
            <w:tcW w:w="1082" w:type="dxa"/>
            <w:shd w:val="clear" w:color="auto" w:fill="auto"/>
            <w:vAlign w:val="center"/>
          </w:tcPr>
          <w:p>
            <w:pPr>
              <w:rPr>
                <w:rFonts w:ascii="仿宋_GB2312" w:eastAsia="仿宋_GB2312"/>
                <w:vanish/>
                <w:color w:val="000000" w:themeColor="text1"/>
                <w:sz w:val="21"/>
                <w:szCs w:val="21"/>
              </w:rPr>
            </w:pPr>
          </w:p>
        </w:tc>
        <w:tc>
          <w:tcPr>
            <w:tcW w:w="1874" w:type="dxa"/>
            <w:shd w:val="clear" w:color="auto" w:fill="auto"/>
            <w:vAlign w:val="center"/>
          </w:tcPr>
          <w:p>
            <w:pPr>
              <w:rPr>
                <w:rFonts w:ascii="仿宋_GB2312" w:eastAsia="仿宋_GB2312"/>
                <w:vanish/>
                <w:color w:val="000000" w:themeColor="text1"/>
                <w:sz w:val="21"/>
                <w:szCs w:val="21"/>
              </w:rPr>
            </w:pPr>
          </w:p>
        </w:tc>
        <w:tc>
          <w:tcPr>
            <w:tcW w:w="3838" w:type="dxa"/>
            <w:shd w:val="clear" w:color="auto" w:fill="auto"/>
            <w:vAlign w:val="center"/>
          </w:tcPr>
          <w:p>
            <w:pPr>
              <w:rPr>
                <w:rFonts w:ascii="仿宋_GB2312" w:eastAsia="仿宋_GB2312"/>
                <w:vanish/>
                <w:color w:val="000000" w:themeColor="text1"/>
                <w:sz w:val="21"/>
                <w:szCs w:val="21"/>
              </w:rPr>
            </w:pPr>
          </w:p>
        </w:tc>
        <w:tc>
          <w:tcPr>
            <w:tcW w:w="1064" w:type="dxa"/>
            <w:shd w:val="clear" w:color="auto" w:fill="auto"/>
            <w:vAlign w:val="center"/>
          </w:tcPr>
          <w:p>
            <w:pPr>
              <w:jc w:val="both"/>
              <w:rPr>
                <w:rFonts w:ascii="仿宋_GB2312" w:eastAsia="仿宋_GB2312"/>
                <w:vanish/>
                <w:color w:val="000000" w:themeColor="text1"/>
                <w:sz w:val="21"/>
                <w:szCs w:val="21"/>
              </w:rPr>
            </w:pPr>
          </w:p>
        </w:tc>
      </w:tr>
    </w:tbl>
    <w:p>
      <w:pPr>
        <w:rPr>
          <w:rFonts w:ascii="仿宋_GB2312" w:eastAsia="仿宋_GB2312"/>
          <w:color w:val="000000" w:themeColor="text1"/>
          <w:sz w:val="21"/>
          <w:szCs w:val="21"/>
        </w:rPr>
      </w:pPr>
    </w:p>
    <w:sectPr>
      <w:pgSz w:w="16838" w:h="11906" w:orient="landscape"/>
      <w:pgMar w:top="1800" w:right="1440" w:bottom="1800" w:left="1440" w:header="851" w:footer="992" w:gutter="0"/>
      <w:cols w:space="425" w:num="1"/>
      <w:docGrid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noPunctuationKerning w:val="1"/>
  <w:characterSpacingControl w:val="doNotCompress"/>
  <w:compat>
    <w:doNotSnapToGridInCell/>
    <w:doNotWrapTextWithPunct/>
    <w:doNotUseEastAsianBreakRules/>
    <w:growAutofit/>
    <w:useFELayout/>
    <w:compatSetting w:name="compatibilityMode" w:uri="http://schemas.microsoft.com/office/word" w:val="12"/>
  </w:compat>
  <w:rsids>
    <w:rsidRoot w:val="00C87A94"/>
    <w:rsid w:val="00056700"/>
    <w:rsid w:val="00147255"/>
    <w:rsid w:val="00167FBD"/>
    <w:rsid w:val="002410C5"/>
    <w:rsid w:val="00256B54"/>
    <w:rsid w:val="002E6EC1"/>
    <w:rsid w:val="00351EA0"/>
    <w:rsid w:val="00377979"/>
    <w:rsid w:val="00391616"/>
    <w:rsid w:val="00445858"/>
    <w:rsid w:val="00496EE8"/>
    <w:rsid w:val="005C3B76"/>
    <w:rsid w:val="006915A3"/>
    <w:rsid w:val="00721A77"/>
    <w:rsid w:val="00746C72"/>
    <w:rsid w:val="00794891"/>
    <w:rsid w:val="00801ED9"/>
    <w:rsid w:val="00815FB4"/>
    <w:rsid w:val="0084278F"/>
    <w:rsid w:val="00857A54"/>
    <w:rsid w:val="0097692C"/>
    <w:rsid w:val="009C360D"/>
    <w:rsid w:val="00A059E9"/>
    <w:rsid w:val="00B24F36"/>
    <w:rsid w:val="00C8076A"/>
    <w:rsid w:val="00C87A94"/>
    <w:rsid w:val="00CA426A"/>
    <w:rsid w:val="00CE0083"/>
    <w:rsid w:val="00D03D22"/>
    <w:rsid w:val="00D53030"/>
    <w:rsid w:val="00DB1938"/>
    <w:rsid w:val="00DD3C7C"/>
    <w:rsid w:val="00DF465C"/>
    <w:rsid w:val="00E82D5A"/>
    <w:rsid w:val="00F84E34"/>
    <w:rsid w:val="00F91064"/>
    <w:rsid w:val="00FD53F4"/>
    <w:rsid w:val="00FD6480"/>
    <w:rsid w:val="2FEA0BE9"/>
    <w:rsid w:val="372A2E9B"/>
    <w:rsid w:val="7BC17A0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6">
    <w:name w:val="Default Paragraph Font"/>
    <w:unhideWhenUsed/>
    <w:uiPriority w:val="1"/>
  </w:style>
  <w:style w:type="table" w:default="1" w:styleId="8">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25"/>
    <w:unhideWhenUsed/>
    <w:qFormat/>
    <w:uiPriority w:val="99"/>
    <w:rPr>
      <w:sz w:val="18"/>
      <w:szCs w:val="18"/>
    </w:rPr>
  </w:style>
  <w:style w:type="paragraph" w:styleId="3">
    <w:name w:val="footer"/>
    <w:basedOn w:val="1"/>
    <w:link w:val="24"/>
    <w:unhideWhenUsed/>
    <w:qFormat/>
    <w:uiPriority w:val="99"/>
    <w:pPr>
      <w:tabs>
        <w:tab w:val="center" w:pos="4153"/>
        <w:tab w:val="right" w:pos="8306"/>
      </w:tabs>
      <w:snapToGrid w:val="0"/>
    </w:pPr>
    <w:rPr>
      <w:sz w:val="18"/>
      <w:szCs w:val="18"/>
    </w:rPr>
  </w:style>
  <w:style w:type="paragraph" w:styleId="4">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style>
  <w:style w:type="character" w:styleId="7">
    <w:name w:val="Strong"/>
    <w:basedOn w:val="6"/>
    <w:qFormat/>
    <w:uiPriority w:val="22"/>
    <w:rPr>
      <w:b/>
      <w:bCs/>
    </w:rPr>
  </w:style>
  <w:style w:type="paragraph" w:customStyle="1" w:styleId="9">
    <w:name w:val="font58915"/>
    <w:basedOn w:val="1"/>
    <w:qFormat/>
    <w:uiPriority w:val="0"/>
    <w:pPr>
      <w:spacing w:before="100" w:beforeAutospacing="1" w:after="100" w:afterAutospacing="1"/>
    </w:pPr>
    <w:rPr>
      <w:sz w:val="18"/>
      <w:szCs w:val="18"/>
    </w:rPr>
  </w:style>
  <w:style w:type="paragraph" w:customStyle="1" w:styleId="10">
    <w:name w:val="font68915"/>
    <w:basedOn w:val="1"/>
    <w:qFormat/>
    <w:uiPriority w:val="0"/>
    <w:pPr>
      <w:spacing w:before="100" w:beforeAutospacing="1" w:after="100" w:afterAutospacing="1"/>
    </w:pPr>
    <w:rPr>
      <w:sz w:val="18"/>
      <w:szCs w:val="18"/>
    </w:rPr>
  </w:style>
  <w:style w:type="paragraph" w:customStyle="1" w:styleId="11">
    <w:name w:val="font78915"/>
    <w:basedOn w:val="1"/>
    <w:qFormat/>
    <w:uiPriority w:val="0"/>
    <w:pPr>
      <w:spacing w:before="100" w:beforeAutospacing="1" w:after="100" w:afterAutospacing="1"/>
    </w:pPr>
    <w:rPr>
      <w:sz w:val="18"/>
      <w:szCs w:val="18"/>
    </w:rPr>
  </w:style>
  <w:style w:type="paragraph" w:customStyle="1" w:styleId="12">
    <w:name w:val="font88915"/>
    <w:basedOn w:val="1"/>
    <w:qFormat/>
    <w:uiPriority w:val="0"/>
    <w:pPr>
      <w:spacing w:before="100" w:beforeAutospacing="1" w:after="100" w:afterAutospacing="1"/>
    </w:pPr>
    <w:rPr>
      <w:rFonts w:ascii="Arial" w:hAnsi="Arial" w:cs="Arial"/>
      <w:color w:val="333333"/>
      <w:sz w:val="28"/>
      <w:szCs w:val="28"/>
    </w:rPr>
  </w:style>
  <w:style w:type="paragraph" w:customStyle="1" w:styleId="13">
    <w:name w:val="font98915"/>
    <w:basedOn w:val="1"/>
    <w:qFormat/>
    <w:uiPriority w:val="0"/>
    <w:pPr>
      <w:spacing w:before="100" w:beforeAutospacing="1" w:after="100" w:afterAutospacing="1"/>
    </w:pPr>
    <w:rPr>
      <w:color w:val="333333"/>
      <w:sz w:val="28"/>
      <w:szCs w:val="28"/>
    </w:rPr>
  </w:style>
  <w:style w:type="paragraph" w:customStyle="1" w:styleId="14">
    <w:name w:val="xl638915"/>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textAlignment w:val="center"/>
    </w:pPr>
    <w:rPr>
      <w:sz w:val="28"/>
      <w:szCs w:val="28"/>
    </w:rPr>
  </w:style>
  <w:style w:type="paragraph" w:customStyle="1" w:styleId="15">
    <w:name w:val="xl648915"/>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000000"/>
      <w:sz w:val="28"/>
      <w:szCs w:val="28"/>
    </w:rPr>
  </w:style>
  <w:style w:type="paragraph" w:customStyle="1" w:styleId="16">
    <w:name w:val="xl658915"/>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000000"/>
      <w:sz w:val="28"/>
      <w:szCs w:val="28"/>
    </w:rPr>
  </w:style>
  <w:style w:type="paragraph" w:customStyle="1" w:styleId="17">
    <w:name w:val="xl668915"/>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sz w:val="28"/>
      <w:szCs w:val="28"/>
    </w:rPr>
  </w:style>
  <w:style w:type="paragraph" w:customStyle="1" w:styleId="18">
    <w:name w:val="xl678915"/>
    <w:basedOn w:val="1"/>
    <w:qFormat/>
    <w:uiPriority w:val="0"/>
    <w:pPr>
      <w:spacing w:before="100" w:beforeAutospacing="1" w:after="100" w:afterAutospacing="1"/>
      <w:textAlignment w:val="center"/>
    </w:pPr>
    <w:rPr>
      <w:rFonts w:ascii="仿宋_GB2312" w:eastAsia="仿宋_GB2312"/>
      <w:sz w:val="28"/>
      <w:szCs w:val="28"/>
    </w:rPr>
  </w:style>
  <w:style w:type="paragraph" w:customStyle="1" w:styleId="19">
    <w:name w:val="xl688915"/>
    <w:basedOn w:val="1"/>
    <w:qFormat/>
    <w:uiPriority w:val="0"/>
    <w:pPr>
      <w:spacing w:before="100" w:beforeAutospacing="1" w:after="100" w:afterAutospacing="1"/>
      <w:textAlignment w:val="center"/>
    </w:pPr>
    <w:rPr>
      <w:color w:val="000000"/>
      <w:sz w:val="28"/>
      <w:szCs w:val="28"/>
    </w:rPr>
  </w:style>
  <w:style w:type="paragraph" w:customStyle="1" w:styleId="20">
    <w:name w:val="xl698915"/>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color w:val="000000"/>
      <w:sz w:val="28"/>
      <w:szCs w:val="28"/>
    </w:rPr>
  </w:style>
  <w:style w:type="paragraph" w:customStyle="1" w:styleId="21">
    <w:name w:val="xl708915"/>
    <w:basedOn w:val="1"/>
    <w:qFormat/>
    <w:uiPriority w:val="0"/>
    <w:pPr>
      <w:pBdr>
        <w:left w:val="single" w:color="auto" w:sz="4" w:space="1"/>
        <w:bottom w:val="single" w:color="auto" w:sz="4" w:space="0"/>
        <w:right w:val="single" w:color="auto" w:sz="4" w:space="1"/>
      </w:pBdr>
      <w:spacing w:before="100" w:beforeAutospacing="1" w:after="100" w:afterAutospacing="1"/>
      <w:textAlignment w:val="center"/>
    </w:pPr>
    <w:rPr>
      <w:color w:val="000000"/>
      <w:sz w:val="28"/>
      <w:szCs w:val="28"/>
    </w:rPr>
  </w:style>
  <w:style w:type="paragraph" w:customStyle="1" w:styleId="22">
    <w:name w:val="xl718915"/>
    <w:basedOn w:val="1"/>
    <w:qFormat/>
    <w:uiPriority w:val="0"/>
    <w:pPr>
      <w:pBdr>
        <w:left w:val="single" w:color="auto" w:sz="4" w:space="1"/>
        <w:bottom w:val="single" w:color="auto" w:sz="4" w:space="0"/>
        <w:right w:val="single" w:color="auto" w:sz="4" w:space="1"/>
      </w:pBdr>
      <w:shd w:val="clear" w:color="000000" w:fill="FFFFFF"/>
      <w:spacing w:before="100" w:beforeAutospacing="1" w:after="100" w:afterAutospacing="1"/>
      <w:textAlignment w:val="center"/>
    </w:pPr>
    <w:rPr>
      <w:sz w:val="28"/>
      <w:szCs w:val="28"/>
    </w:rPr>
  </w:style>
  <w:style w:type="character" w:customStyle="1" w:styleId="23">
    <w:name w:val="页眉 Char"/>
    <w:basedOn w:val="6"/>
    <w:link w:val="4"/>
    <w:qFormat/>
    <w:uiPriority w:val="99"/>
    <w:rPr>
      <w:rFonts w:ascii="宋体" w:hAnsi="宋体" w:eastAsia="宋体" w:cs="宋体"/>
      <w:sz w:val="18"/>
      <w:szCs w:val="18"/>
    </w:rPr>
  </w:style>
  <w:style w:type="character" w:customStyle="1" w:styleId="24">
    <w:name w:val="页脚 Char"/>
    <w:basedOn w:val="6"/>
    <w:link w:val="3"/>
    <w:qFormat/>
    <w:uiPriority w:val="99"/>
    <w:rPr>
      <w:rFonts w:ascii="宋体" w:hAnsi="宋体" w:eastAsia="宋体" w:cs="宋体"/>
      <w:sz w:val="18"/>
      <w:szCs w:val="18"/>
    </w:rPr>
  </w:style>
  <w:style w:type="character" w:customStyle="1" w:styleId="25">
    <w:name w:val="批注框文本 Char"/>
    <w:basedOn w:val="6"/>
    <w:link w:val="2"/>
    <w:semiHidden/>
    <w:qFormat/>
    <w:uiPriority w:val="99"/>
    <w:rPr>
      <w:rFonts w:ascii="宋体" w:hAnsi="宋体" w:eastAsia="宋体" w:cs="宋体"/>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664</Words>
  <Characters>3788</Characters>
  <Lines>31</Lines>
  <Paragraphs>8</Paragraphs>
  <TotalTime>169</TotalTime>
  <ScaleCrop>false</ScaleCrop>
  <LinksUpToDate>false</LinksUpToDate>
  <CharactersWithSpaces>4444</CharactersWithSpaces>
  <Application>WPS Office_10.8.0.6423_F1E327BC-269C-435d-A152-05C5408002CA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2019-04-28T07:11:00Z</dcterms:created>
  <dc:creator>未定义</dc:creator>
  <cp:lastModifiedBy>未定义</cp:lastModifiedBy>
  <cp:lastPrinted>2020-12-09T09:18:00Z</cp:lastPrinted>
  <dcterms:modified xsi:type="dcterms:W3CDTF">2022-05-05T08:03:05Z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2052-10.8.0.6423</vt:lpwstr>
  </property>
</Properties>
</file>