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color w:val="000000" w:themeColor="text1"/>
          <w:sz w:val="44"/>
          <w:szCs w:val="44"/>
        </w:rPr>
      </w:pPr>
      <w:r>
        <w:rPr>
          <w:rFonts w:hint="eastAsia" w:asciiTheme="majorEastAsia" w:hAnsiTheme="majorEastAsia" w:eastAsiaTheme="majorEastAsia"/>
          <w:b/>
          <w:color w:val="000000" w:themeColor="text1"/>
          <w:sz w:val="44"/>
          <w:szCs w:val="44"/>
          <w:lang w:eastAsia="zh-CN"/>
        </w:rPr>
        <w:t>揭阳</w:t>
      </w:r>
      <w:r>
        <w:rPr>
          <w:rFonts w:hint="eastAsia" w:asciiTheme="majorEastAsia" w:hAnsiTheme="majorEastAsia" w:eastAsiaTheme="majorEastAsia"/>
          <w:b/>
          <w:color w:val="000000" w:themeColor="text1"/>
          <w:sz w:val="44"/>
          <w:szCs w:val="44"/>
        </w:rPr>
        <w:t>市网络文化行政处罚自由裁量权实施标准</w:t>
      </w:r>
    </w:p>
    <w:tbl>
      <w:tblPr>
        <w:tblStyle w:val="13"/>
        <w:tblW w:w="13983" w:type="dxa"/>
        <w:jc w:val="center"/>
        <w:tblInd w:w="5" w:type="dxa"/>
        <w:tblLayout w:type="fixed"/>
        <w:tblCellMar>
          <w:top w:w="15" w:type="dxa"/>
          <w:left w:w="15" w:type="dxa"/>
          <w:bottom w:w="0" w:type="dxa"/>
          <w:right w:w="15" w:type="dxa"/>
        </w:tblCellMar>
      </w:tblPr>
      <w:tblGrid>
        <w:gridCol w:w="241"/>
        <w:gridCol w:w="2643"/>
        <w:gridCol w:w="3913"/>
        <w:gridCol w:w="1267"/>
        <w:gridCol w:w="1267"/>
        <w:gridCol w:w="3932"/>
        <w:gridCol w:w="720"/>
      </w:tblGrid>
      <w:tr>
        <w:tblPrEx>
          <w:tblLayout w:type="fixed"/>
          <w:tblCellMar>
            <w:top w:w="15" w:type="dxa"/>
            <w:left w:w="15" w:type="dxa"/>
            <w:bottom w:w="0" w:type="dxa"/>
            <w:right w:w="15" w:type="dxa"/>
          </w:tblCellMar>
        </w:tblPrEx>
        <w:trPr>
          <w:trHeight w:val="1021" w:hRule="atLeast"/>
          <w:tblHeader/>
          <w:jc w:val="center"/>
        </w:trPr>
        <w:tc>
          <w:tcPr>
            <w:tcW w:w="24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color w:val="000000" w:themeColor="text1"/>
                <w:sz w:val="21"/>
                <w:szCs w:val="21"/>
              </w:rPr>
            </w:pPr>
            <w:r>
              <w:rPr>
                <w:rFonts w:hint="eastAsia" w:ascii="仿宋_GB2312" w:eastAsia="仿宋_GB2312"/>
                <w:b/>
                <w:color w:val="000000" w:themeColor="text1"/>
                <w:sz w:val="21"/>
                <w:szCs w:val="21"/>
              </w:rPr>
              <w:t>序号</w:t>
            </w:r>
          </w:p>
        </w:tc>
        <w:tc>
          <w:tcPr>
            <w:tcW w:w="264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color w:val="000000" w:themeColor="text1"/>
                <w:sz w:val="21"/>
                <w:szCs w:val="21"/>
              </w:rPr>
            </w:pPr>
            <w:r>
              <w:rPr>
                <w:rFonts w:hint="eastAsia" w:ascii="仿宋_GB2312" w:eastAsia="仿宋_GB2312"/>
                <w:b/>
                <w:color w:val="000000" w:themeColor="text1"/>
                <w:sz w:val="21"/>
                <w:szCs w:val="21"/>
              </w:rPr>
              <w:t>违法行为</w:t>
            </w:r>
          </w:p>
        </w:tc>
        <w:tc>
          <w:tcPr>
            <w:tcW w:w="3913"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color w:val="000000" w:themeColor="text1"/>
                <w:sz w:val="21"/>
                <w:szCs w:val="21"/>
              </w:rPr>
            </w:pPr>
            <w:r>
              <w:rPr>
                <w:rFonts w:hint="eastAsia" w:ascii="仿宋_GB2312" w:eastAsia="仿宋_GB2312"/>
                <w:b/>
                <w:color w:val="000000" w:themeColor="text1"/>
                <w:sz w:val="21"/>
                <w:szCs w:val="21"/>
              </w:rPr>
              <w:t>法律依据</w:t>
            </w:r>
          </w:p>
        </w:tc>
        <w:tc>
          <w:tcPr>
            <w:tcW w:w="12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color w:val="000000" w:themeColor="text1"/>
                <w:sz w:val="21"/>
                <w:szCs w:val="21"/>
              </w:rPr>
            </w:pPr>
            <w:r>
              <w:rPr>
                <w:rFonts w:hint="eastAsia" w:ascii="仿宋_GB2312" w:eastAsia="仿宋_GB2312"/>
                <w:b/>
                <w:color w:val="000000" w:themeColor="text1"/>
                <w:sz w:val="21"/>
                <w:szCs w:val="21"/>
              </w:rPr>
              <w:t>违反条款</w:t>
            </w:r>
          </w:p>
        </w:tc>
        <w:tc>
          <w:tcPr>
            <w:tcW w:w="1267"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color w:val="000000" w:themeColor="text1"/>
                <w:sz w:val="21"/>
                <w:szCs w:val="21"/>
              </w:rPr>
            </w:pPr>
            <w:r>
              <w:rPr>
                <w:rFonts w:hint="eastAsia" w:ascii="仿宋_GB2312" w:eastAsia="仿宋_GB2312"/>
                <w:b/>
                <w:color w:val="000000" w:themeColor="text1"/>
                <w:sz w:val="21"/>
                <w:szCs w:val="21"/>
              </w:rPr>
              <w:t>罚则</w:t>
            </w:r>
          </w:p>
        </w:tc>
        <w:tc>
          <w:tcPr>
            <w:tcW w:w="393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color w:val="000000" w:themeColor="text1"/>
                <w:sz w:val="21"/>
                <w:szCs w:val="21"/>
              </w:rPr>
            </w:pPr>
            <w:r>
              <w:rPr>
                <w:rFonts w:hint="eastAsia" w:ascii="仿宋_GB2312" w:eastAsia="仿宋_GB2312"/>
                <w:b/>
                <w:color w:val="000000" w:themeColor="text1"/>
                <w:sz w:val="21"/>
                <w:szCs w:val="21"/>
              </w:rPr>
              <w:t>裁量标准</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color w:val="000000" w:themeColor="text1"/>
                <w:sz w:val="21"/>
                <w:szCs w:val="21"/>
              </w:rPr>
            </w:pPr>
            <w:r>
              <w:rPr>
                <w:rFonts w:hint="eastAsia" w:ascii="仿宋_GB2312" w:eastAsia="仿宋_GB2312"/>
                <w:b/>
                <w:color w:val="000000" w:themeColor="text1"/>
                <w:sz w:val="21"/>
                <w:szCs w:val="21"/>
              </w:rPr>
              <w:t>备注</w:t>
            </w:r>
          </w:p>
        </w:tc>
      </w:tr>
      <w:tr>
        <w:tblPrEx>
          <w:tblLayout w:type="fixed"/>
          <w:tblCellMar>
            <w:top w:w="15" w:type="dxa"/>
            <w:left w:w="15" w:type="dxa"/>
            <w:bottom w:w="0" w:type="dxa"/>
            <w:right w:w="15" w:type="dxa"/>
          </w:tblCellMar>
        </w:tblPrEx>
        <w:trPr>
          <w:trHeight w:val="1021" w:hRule="atLeast"/>
          <w:jc w:val="center"/>
        </w:trPr>
        <w:tc>
          <w:tcPr>
            <w:tcW w:w="24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000000" w:themeColor="text1"/>
                <w:sz w:val="21"/>
                <w:szCs w:val="21"/>
              </w:rPr>
            </w:pPr>
            <w:r>
              <w:rPr>
                <w:rFonts w:hint="eastAsia" w:ascii="仿宋_GB2312" w:eastAsia="仿宋_GB2312"/>
                <w:bCs/>
                <w:color w:val="000000" w:themeColor="text1"/>
                <w:sz w:val="21"/>
                <w:szCs w:val="21"/>
              </w:rPr>
              <w:t>1</w:t>
            </w:r>
          </w:p>
        </w:tc>
        <w:tc>
          <w:tcPr>
            <w:tcW w:w="264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未经批准，擅自从事经营性互联网文化活动</w:t>
            </w:r>
          </w:p>
        </w:tc>
        <w:tc>
          <w:tcPr>
            <w:tcW w:w="391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二十一条：未经批准，擅自从事经营性互联网文化活动的，由县级以上人民政府文化行政部门或者文化市场综合执法机构责令停止经营性互联网文化活动，予以警告，并处30000元以下罚款；拒不停止经营活动的，依法列入文化市场黑名单，予以信用惩戒。</w:t>
            </w:r>
          </w:p>
        </w:tc>
        <w:tc>
          <w:tcPr>
            <w:tcW w:w="1267"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《互联网文化管理暂行规定》第八条</w:t>
            </w:r>
          </w:p>
        </w:tc>
        <w:tc>
          <w:tcPr>
            <w:tcW w:w="1267"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《互联网文化管理暂行规定》第二十一条</w:t>
            </w:r>
          </w:p>
        </w:tc>
        <w:tc>
          <w:tcPr>
            <w:tcW w:w="3932"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1、2年内第1次查处的：警告，并处罚款1万元；</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2、2年内2次以上查处的：警告，并处罚款2万元；</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3、经营的互联网文化活动含有本规定第十六条第1-7项规定的禁止内容并在社会上造成恶劣影响的，或有其他严重情节的：警告，并处罚款3万元。</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　</w:t>
            </w:r>
          </w:p>
        </w:tc>
      </w:tr>
      <w:tr>
        <w:tblPrEx>
          <w:tblLayout w:type="fixed"/>
          <w:tblCellMar>
            <w:top w:w="15" w:type="dxa"/>
            <w:left w:w="15" w:type="dxa"/>
            <w:bottom w:w="0" w:type="dxa"/>
            <w:right w:w="15" w:type="dxa"/>
          </w:tblCellMar>
        </w:tblPrEx>
        <w:trPr>
          <w:trHeight w:val="854" w:hRule="atLeast"/>
          <w:jc w:val="center"/>
        </w:trPr>
        <w:tc>
          <w:tcPr>
            <w:tcW w:w="24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000000" w:themeColor="text1"/>
                <w:sz w:val="21"/>
                <w:szCs w:val="21"/>
              </w:rPr>
            </w:pPr>
            <w:r>
              <w:rPr>
                <w:rFonts w:hint="eastAsia" w:ascii="仿宋_GB2312" w:eastAsia="仿宋_GB2312"/>
                <w:bCs/>
                <w:color w:val="000000" w:themeColor="text1"/>
                <w:sz w:val="21"/>
                <w:szCs w:val="21"/>
              </w:rPr>
              <w:t>2</w:t>
            </w:r>
          </w:p>
        </w:tc>
        <w:tc>
          <w:tcPr>
            <w:tcW w:w="2643"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非经营性互联网文化单位，逾期未办理备案手续</w:t>
            </w:r>
          </w:p>
        </w:tc>
        <w:tc>
          <w:tcPr>
            <w:tcW w:w="3913"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二十二条：非经营性互联网文化单位违反本规定第十条，逾期未办理备案手续的，由县级以上人民政府文化行政部门或者文化市场综合执法机构责令限期改正；拒不改正的，责令停止互联网文化活动，并处1000 元以下罚款。</w:t>
            </w:r>
          </w:p>
        </w:tc>
        <w:tc>
          <w:tcPr>
            <w:tcW w:w="1267"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《互联网文化管理暂行规定》第十条</w:t>
            </w:r>
          </w:p>
        </w:tc>
        <w:tc>
          <w:tcPr>
            <w:tcW w:w="1267"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《互联网文化管理暂行规定》第二十二条</w:t>
            </w:r>
          </w:p>
        </w:tc>
        <w:tc>
          <w:tcPr>
            <w:tcW w:w="3932"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1、2年内第1次查处的：责令限期改正；</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2、2年内2次以上查处的，或在社会上造成恶劣影响的，或有其他严重情节的：罚款1000元。</w:t>
            </w:r>
          </w:p>
        </w:tc>
        <w:tc>
          <w:tcPr>
            <w:tcW w:w="720"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p>
        </w:tc>
      </w:tr>
      <w:tr>
        <w:tblPrEx>
          <w:tblLayout w:type="fixed"/>
          <w:tblCellMar>
            <w:top w:w="15" w:type="dxa"/>
            <w:left w:w="15" w:type="dxa"/>
            <w:bottom w:w="0" w:type="dxa"/>
            <w:right w:w="15" w:type="dxa"/>
          </w:tblCellMar>
        </w:tblPrEx>
        <w:trPr>
          <w:trHeight w:val="1524" w:hRule="atLeast"/>
          <w:jc w:val="center"/>
        </w:trPr>
        <w:tc>
          <w:tcPr>
            <w:tcW w:w="241"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Cs/>
                <w:color w:val="000000" w:themeColor="text1"/>
                <w:sz w:val="21"/>
                <w:szCs w:val="21"/>
              </w:rPr>
            </w:pPr>
            <w:r>
              <w:rPr>
                <w:rFonts w:hint="eastAsia" w:ascii="仿宋_GB2312" w:eastAsia="仿宋_GB2312"/>
                <w:bCs/>
                <w:color w:val="000000" w:themeColor="text1"/>
                <w:sz w:val="21"/>
                <w:szCs w:val="21"/>
              </w:rPr>
              <w:t>3</w:t>
            </w:r>
          </w:p>
        </w:tc>
        <w:tc>
          <w:tcPr>
            <w:tcW w:w="2643"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经营性互联网文化单位未在其网站主页的显著位置标明文化行政部门颁发的《网络文化经营许可证》编号、国务院信息产业主管部门或者省、自治区、直辖市电信管理机构颁发的经营许可证编号</w:t>
            </w:r>
          </w:p>
        </w:tc>
        <w:tc>
          <w:tcPr>
            <w:tcW w:w="3913"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《互联网文化管理暂行规定》第二十三条：经营性互联网文化单位违反本规定第十二条的，由县级以上人民政府文化行政部门或者文化市场综合执法机构责令限期改正，并可根据情节轻重处10000元以下罚款。</w:t>
            </w:r>
          </w:p>
        </w:tc>
        <w:tc>
          <w:tcPr>
            <w:tcW w:w="1267"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《互联网文化管理暂行规定》第十二条</w:t>
            </w:r>
          </w:p>
        </w:tc>
        <w:tc>
          <w:tcPr>
            <w:tcW w:w="1267"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《互联网文化管理暂行规定》第二十三条第一款</w:t>
            </w:r>
          </w:p>
        </w:tc>
        <w:tc>
          <w:tcPr>
            <w:tcW w:w="3932"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1、2年内第1次查处的：责令限期改正；</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2、2年内第2次查处的：罚款2000元；</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3、2年内3次以上查处的，或在社会上造成恶劣影响的，或有其他严重情节的：罚款1万元。</w:t>
            </w:r>
          </w:p>
        </w:tc>
        <w:tc>
          <w:tcPr>
            <w:tcW w:w="720" w:type="dxa"/>
            <w:tcBorders>
              <w:top w:val="nil"/>
              <w:left w:val="single" w:color="auto" w:sz="4" w:space="0"/>
              <w:bottom w:val="single" w:color="000000" w:sz="4" w:space="0"/>
              <w:right w:val="single" w:color="auto" w:sz="4" w:space="0"/>
            </w:tcBorders>
            <w:shd w:val="clear" w:color="auto" w:fill="auto"/>
            <w:vAlign w:val="center"/>
          </w:tcPr>
          <w:p>
            <w:pPr>
              <w:jc w:val="center"/>
              <w:rPr>
                <w:rFonts w:ascii="仿宋_GB2312" w:eastAsia="仿宋_GB2312"/>
                <w:color w:val="000000" w:themeColor="text1"/>
                <w:sz w:val="21"/>
                <w:szCs w:val="21"/>
              </w:rPr>
            </w:pPr>
          </w:p>
        </w:tc>
      </w:tr>
      <w:tr>
        <w:tblPrEx>
          <w:tblLayout w:type="fixed"/>
          <w:tblCellMar>
            <w:top w:w="15" w:type="dxa"/>
            <w:left w:w="15" w:type="dxa"/>
            <w:bottom w:w="0" w:type="dxa"/>
            <w:right w:w="15" w:type="dxa"/>
          </w:tblCellMar>
        </w:tblPrEx>
        <w:trPr>
          <w:trHeight w:val="1482" w:hRule="atLeast"/>
          <w:jc w:val="center"/>
        </w:trPr>
        <w:tc>
          <w:tcPr>
            <w:tcW w:w="241"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Cs/>
                <w:color w:val="000000" w:themeColor="text1"/>
                <w:sz w:val="21"/>
                <w:szCs w:val="21"/>
              </w:rPr>
            </w:pPr>
            <w:r>
              <w:rPr>
                <w:rFonts w:hint="eastAsia" w:ascii="仿宋_GB2312" w:eastAsia="仿宋_GB2312"/>
                <w:bCs/>
                <w:color w:val="000000" w:themeColor="text1"/>
                <w:sz w:val="21"/>
                <w:szCs w:val="21"/>
              </w:rPr>
              <w:t>4</w:t>
            </w:r>
          </w:p>
        </w:tc>
        <w:tc>
          <w:tcPr>
            <w:tcW w:w="2643"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非经营性互联网文化单位未在其网站主页的显著位置标明备案编号、国务院信息产业主管部门或者省、自治区、直辖市电信管理机构备案编号</w:t>
            </w:r>
          </w:p>
        </w:tc>
        <w:tc>
          <w:tcPr>
            <w:tcW w:w="3913" w:type="dxa"/>
            <w:tcBorders>
              <w:top w:val="nil"/>
              <w:left w:val="nil"/>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《互联网文化管理暂行规定》第二十三条：非经营性互联网文化单位违反本规定第十二条的，由县级以上人民政府文化行政部门或 者文化市场综合执法机构责令限期改正；拒不改正的，责令停止互联网文化活动，并处500元以下罚款。</w:t>
            </w:r>
          </w:p>
        </w:tc>
        <w:tc>
          <w:tcPr>
            <w:tcW w:w="1267"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《互联网文化管理暂行规定》第十二条</w:t>
            </w:r>
          </w:p>
        </w:tc>
        <w:tc>
          <w:tcPr>
            <w:tcW w:w="1267"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《互联网文化管理暂行规定》第二十三条第二款</w:t>
            </w:r>
          </w:p>
        </w:tc>
        <w:tc>
          <w:tcPr>
            <w:tcW w:w="3932"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1、2年内第1次查处的：责令限期改正；</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2、2年内2次以上查处的，或在社会上造成恶劣影响的，或有其他严重情节的：罚款500元。</w:t>
            </w:r>
          </w:p>
        </w:tc>
        <w:tc>
          <w:tcPr>
            <w:tcW w:w="720" w:type="dxa"/>
            <w:tcBorders>
              <w:top w:val="nil"/>
              <w:left w:val="single" w:color="auto" w:sz="4" w:space="0"/>
              <w:bottom w:val="single" w:color="000000" w:sz="4" w:space="0"/>
              <w:right w:val="single" w:color="auto" w:sz="4" w:space="0"/>
            </w:tcBorders>
            <w:shd w:val="clear" w:color="auto" w:fill="auto"/>
            <w:vAlign w:val="center"/>
          </w:tcPr>
          <w:p>
            <w:pPr>
              <w:rPr>
                <w:rFonts w:ascii="仿宋_GB2312" w:eastAsia="仿宋_GB2312"/>
                <w:color w:val="000000" w:themeColor="text1"/>
                <w:sz w:val="21"/>
                <w:szCs w:val="21"/>
              </w:rPr>
            </w:pPr>
          </w:p>
        </w:tc>
      </w:tr>
      <w:tr>
        <w:tblPrEx>
          <w:tblLayout w:type="fixed"/>
          <w:tblCellMar>
            <w:top w:w="15" w:type="dxa"/>
            <w:left w:w="15" w:type="dxa"/>
            <w:bottom w:w="0" w:type="dxa"/>
            <w:right w:w="15" w:type="dxa"/>
          </w:tblCellMar>
        </w:tblPrEx>
        <w:trPr>
          <w:trHeight w:val="1357" w:hRule="atLeast"/>
          <w:jc w:val="center"/>
        </w:trPr>
        <w:tc>
          <w:tcPr>
            <w:tcW w:w="241"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Cs/>
                <w:color w:val="000000" w:themeColor="text1"/>
                <w:sz w:val="21"/>
                <w:szCs w:val="21"/>
              </w:rPr>
            </w:pPr>
            <w:r>
              <w:rPr>
                <w:rFonts w:hint="eastAsia" w:ascii="仿宋_GB2312" w:eastAsia="仿宋_GB2312"/>
                <w:bCs/>
                <w:color w:val="000000" w:themeColor="text1"/>
                <w:sz w:val="21"/>
                <w:szCs w:val="21"/>
              </w:rPr>
              <w:t>5</w:t>
            </w:r>
          </w:p>
        </w:tc>
        <w:tc>
          <w:tcPr>
            <w:tcW w:w="2643"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ascii="仿宋_GB2312" w:eastAsia="仿宋_GB2312"/>
                <w:color w:val="000000" w:themeColor="text1"/>
                <w:sz w:val="21"/>
                <w:szCs w:val="21"/>
              </w:rPr>
              <w:t>经营性互联网文化单位变更有关信息未办理变更手续</w:t>
            </w:r>
          </w:p>
        </w:tc>
        <w:tc>
          <w:tcPr>
            <w:tcW w:w="3913" w:type="dxa"/>
            <w:tcBorders>
              <w:top w:val="nil"/>
              <w:left w:val="nil"/>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《互联网文化管理暂行规定》第二十四条：经营性互联网文化单位违反本规定第十三条的，由县级以上人民政府文化部门或者文化市场综合执法机构责令改正，没收违法所得，并处10000 元以上30000元以下罚款；情节严重的，责令停业整顿直至吊销《网络文化经营许可证》；构成犯罪的，依法追究刑事责任。</w:t>
            </w:r>
          </w:p>
        </w:tc>
        <w:tc>
          <w:tcPr>
            <w:tcW w:w="1267"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《互联网文化管理暂行规定》第十三条</w:t>
            </w:r>
          </w:p>
        </w:tc>
        <w:tc>
          <w:tcPr>
            <w:tcW w:w="1267"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《互联网文化管理暂行规定》第二十四条第一款</w:t>
            </w:r>
          </w:p>
        </w:tc>
        <w:tc>
          <w:tcPr>
            <w:tcW w:w="3932" w:type="dxa"/>
            <w:tcBorders>
              <w:top w:val="nil"/>
              <w:left w:val="nil"/>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1、2年内第1次查处的：没收违法所得，并处罚款1万元；</w:t>
            </w:r>
          </w:p>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2、2年内第2次查处的：没收违法所得，并处罚款3万元；</w:t>
            </w:r>
          </w:p>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3、2年内3次以上查处的：责令停业整顿；</w:t>
            </w:r>
          </w:p>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4、在社会上造成恶劣影响的，或有其他严重情节的：吊销《网络文化经营许可证》。</w:t>
            </w:r>
          </w:p>
        </w:tc>
        <w:tc>
          <w:tcPr>
            <w:tcW w:w="72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p>
        </w:tc>
      </w:tr>
      <w:tr>
        <w:tblPrEx>
          <w:tblLayout w:type="fixed"/>
          <w:tblCellMar>
            <w:top w:w="15" w:type="dxa"/>
            <w:left w:w="15" w:type="dxa"/>
            <w:bottom w:w="0" w:type="dxa"/>
            <w:right w:w="15" w:type="dxa"/>
          </w:tblCellMar>
        </w:tblPrEx>
        <w:trPr>
          <w:trHeight w:val="1021" w:hRule="atLeast"/>
          <w:jc w:val="center"/>
        </w:trPr>
        <w:tc>
          <w:tcPr>
            <w:tcW w:w="241"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Cs/>
                <w:color w:val="000000" w:themeColor="text1"/>
                <w:sz w:val="21"/>
                <w:szCs w:val="21"/>
              </w:rPr>
            </w:pPr>
            <w:r>
              <w:rPr>
                <w:rFonts w:hint="eastAsia" w:ascii="仿宋_GB2312" w:eastAsia="仿宋_GB2312"/>
                <w:bCs/>
                <w:color w:val="000000" w:themeColor="text1"/>
                <w:sz w:val="21"/>
                <w:szCs w:val="21"/>
              </w:rPr>
              <w:t>6</w:t>
            </w:r>
          </w:p>
        </w:tc>
        <w:tc>
          <w:tcPr>
            <w:tcW w:w="2643"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非</w:t>
            </w:r>
            <w:r>
              <w:rPr>
                <w:rFonts w:ascii="仿宋_GB2312" w:eastAsia="仿宋_GB2312"/>
                <w:color w:val="000000" w:themeColor="text1"/>
                <w:sz w:val="21"/>
                <w:szCs w:val="21"/>
              </w:rPr>
              <w:t>经营性互联网文化单位变更有关信息未办理变更手续</w:t>
            </w:r>
          </w:p>
        </w:tc>
        <w:tc>
          <w:tcPr>
            <w:tcW w:w="3913" w:type="dxa"/>
            <w:tcBorders>
              <w:top w:val="nil"/>
              <w:left w:val="nil"/>
              <w:bottom w:val="single" w:color="auto" w:sz="4" w:space="0"/>
              <w:right w:val="single" w:color="auto" w:sz="4" w:space="0"/>
            </w:tcBorders>
            <w:shd w:val="clear" w:color="auto" w:fill="auto"/>
            <w:vAlign w:val="center"/>
          </w:tcPr>
          <w:p>
            <w:pPr>
              <w:spacing w:line="22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二十四条：非经营性互联网文化单位违反本规定第十三条的，由县级以上人民政府文化行政部门或者文化市场综合执法机构责令限期改正；拒不改正的，责令停止互联网文化活动，并处1000元以下罚款。</w:t>
            </w:r>
          </w:p>
        </w:tc>
        <w:tc>
          <w:tcPr>
            <w:tcW w:w="1267"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《互联网文化管理暂行规定》第十三条</w:t>
            </w:r>
          </w:p>
        </w:tc>
        <w:tc>
          <w:tcPr>
            <w:tcW w:w="1267"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《互联网文化管理暂行规定》第二十四条第二款</w:t>
            </w:r>
          </w:p>
        </w:tc>
        <w:tc>
          <w:tcPr>
            <w:tcW w:w="3932"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1、2年内第1次查处的：责令限期改正；</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2、2年内2次以上查处的，或在社会上造成恶劣影响的，或有其他严重情节的：罚款1000元；</w:t>
            </w:r>
          </w:p>
        </w:tc>
        <w:tc>
          <w:tcPr>
            <w:tcW w:w="72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p>
        </w:tc>
      </w:tr>
      <w:tr>
        <w:tblPrEx>
          <w:tblLayout w:type="fixed"/>
          <w:tblCellMar>
            <w:top w:w="15" w:type="dxa"/>
            <w:left w:w="15" w:type="dxa"/>
            <w:bottom w:w="0" w:type="dxa"/>
            <w:right w:w="15" w:type="dxa"/>
          </w:tblCellMar>
        </w:tblPrEx>
        <w:trPr>
          <w:trHeight w:val="1189" w:hRule="atLeast"/>
          <w:jc w:val="center"/>
        </w:trPr>
        <w:tc>
          <w:tcPr>
            <w:tcW w:w="241"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Cs/>
                <w:color w:val="000000" w:themeColor="text1"/>
                <w:sz w:val="21"/>
                <w:szCs w:val="21"/>
              </w:rPr>
            </w:pPr>
            <w:r>
              <w:rPr>
                <w:rFonts w:hint="eastAsia" w:ascii="仿宋_GB2312" w:eastAsia="仿宋_GB2312"/>
                <w:bCs/>
                <w:color w:val="000000" w:themeColor="text1"/>
                <w:sz w:val="21"/>
                <w:szCs w:val="21"/>
              </w:rPr>
              <w:t>7</w:t>
            </w:r>
          </w:p>
        </w:tc>
        <w:tc>
          <w:tcPr>
            <w:tcW w:w="2643"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经营性互联网文化单位经营进口互联网文化产品未在其显著位置标明文化部批准文号</w:t>
            </w:r>
          </w:p>
        </w:tc>
        <w:tc>
          <w:tcPr>
            <w:tcW w:w="3913" w:type="dxa"/>
            <w:tcBorders>
              <w:top w:val="nil"/>
              <w:left w:val="nil"/>
              <w:bottom w:val="single" w:color="auto" w:sz="4" w:space="0"/>
              <w:right w:val="single" w:color="auto" w:sz="4" w:space="0"/>
            </w:tcBorders>
            <w:shd w:val="clear" w:color="auto" w:fill="auto"/>
            <w:vAlign w:val="center"/>
          </w:tcPr>
          <w:p>
            <w:pPr>
              <w:spacing w:line="22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二十五条：经营性互联网文化单位违反本规定第十五条，经营进口互联网文化产品未在其显著位置标明文化部批准文号、经营国产互联网文化产品未在其显著位置标明文化部备案编号的，由县级以上人民政府文化行政部门或者文化市场综合执法机构责令改正，并可根据情节轻重处10000元以下罚款 。</w:t>
            </w:r>
          </w:p>
        </w:tc>
        <w:tc>
          <w:tcPr>
            <w:tcW w:w="1267"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《互联网文化管理暂行规定》第十五条第三款</w:t>
            </w:r>
          </w:p>
        </w:tc>
        <w:tc>
          <w:tcPr>
            <w:tcW w:w="1267"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《互联网文化管理暂行规定》第二十五条</w:t>
            </w:r>
          </w:p>
        </w:tc>
        <w:tc>
          <w:tcPr>
            <w:tcW w:w="3932"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1、2年内第1次查处的：罚款2000元；</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2、2年内2次以上查处的，或在社会上造成恶劣影响的，或有其他严重情节的：罚款1万元。</w:t>
            </w:r>
          </w:p>
        </w:tc>
        <w:tc>
          <w:tcPr>
            <w:tcW w:w="720" w:type="dxa"/>
            <w:tcBorders>
              <w:top w:val="nil"/>
              <w:left w:val="single" w:color="auto" w:sz="4" w:space="0"/>
              <w:bottom w:val="single" w:color="000000" w:sz="4" w:space="0"/>
              <w:right w:val="single" w:color="auto" w:sz="4" w:space="0"/>
            </w:tcBorders>
            <w:shd w:val="clear" w:color="auto" w:fill="auto"/>
            <w:vAlign w:val="center"/>
          </w:tcPr>
          <w:p>
            <w:pPr>
              <w:jc w:val="center"/>
              <w:rPr>
                <w:rFonts w:ascii="仿宋_GB2312" w:eastAsia="仿宋_GB2312"/>
                <w:color w:val="000000" w:themeColor="text1"/>
                <w:sz w:val="21"/>
                <w:szCs w:val="21"/>
              </w:rPr>
            </w:pPr>
          </w:p>
        </w:tc>
      </w:tr>
      <w:tr>
        <w:tblPrEx>
          <w:tblLayout w:type="fixed"/>
          <w:tblCellMar>
            <w:top w:w="15" w:type="dxa"/>
            <w:left w:w="15" w:type="dxa"/>
            <w:bottom w:w="0" w:type="dxa"/>
            <w:right w:w="15" w:type="dxa"/>
          </w:tblCellMar>
        </w:tblPrEx>
        <w:trPr>
          <w:trHeight w:val="1189" w:hRule="atLeast"/>
          <w:jc w:val="center"/>
        </w:trPr>
        <w:tc>
          <w:tcPr>
            <w:tcW w:w="241"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Cs/>
                <w:color w:val="000000" w:themeColor="text1"/>
                <w:sz w:val="21"/>
                <w:szCs w:val="21"/>
              </w:rPr>
            </w:pPr>
            <w:r>
              <w:rPr>
                <w:rFonts w:hint="eastAsia" w:ascii="仿宋_GB2312" w:eastAsia="仿宋_GB2312"/>
                <w:bCs/>
                <w:color w:val="000000" w:themeColor="text1"/>
                <w:sz w:val="21"/>
                <w:szCs w:val="21"/>
              </w:rPr>
              <w:t>8</w:t>
            </w:r>
          </w:p>
        </w:tc>
        <w:tc>
          <w:tcPr>
            <w:tcW w:w="2643"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经营性互联网文化单位经营国产互联网文化产品未在其显著位置标明文化部备案编号</w:t>
            </w:r>
          </w:p>
        </w:tc>
        <w:tc>
          <w:tcPr>
            <w:tcW w:w="3913"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二十五条：经营性互联网文化单位违反本规定第十五条，经营进口互联网文化产品未在其显著位置标明文化部批准文号、经营国产互联网文化产品未在其显著位置标明文化部备案编号的，由县级以上人民政府文化行政部门或者文化市场综合执法机构责令改正，并可根据情节轻重处10000元以下罚款 。</w:t>
            </w:r>
          </w:p>
        </w:tc>
        <w:tc>
          <w:tcPr>
            <w:tcW w:w="1267"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《互联网文化管理暂行规定》第十五条第四款</w:t>
            </w:r>
          </w:p>
        </w:tc>
        <w:tc>
          <w:tcPr>
            <w:tcW w:w="1267"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《互联网文化管理暂行规定》第二十五条</w:t>
            </w:r>
          </w:p>
        </w:tc>
        <w:tc>
          <w:tcPr>
            <w:tcW w:w="3932"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ascii="仿宋_GB2312" w:eastAsia="仿宋_GB2312"/>
                <w:color w:val="000000" w:themeColor="text1"/>
                <w:sz w:val="21"/>
                <w:szCs w:val="21"/>
              </w:rPr>
              <w:t>1、2年内第1次查处的：罚款2000元；</w:t>
            </w:r>
          </w:p>
          <w:p>
            <w:pPr>
              <w:rPr>
                <w:rFonts w:ascii="仿宋_GB2312" w:eastAsia="仿宋_GB2312"/>
                <w:color w:val="000000" w:themeColor="text1"/>
                <w:sz w:val="21"/>
                <w:szCs w:val="21"/>
              </w:rPr>
            </w:pPr>
            <w:r>
              <w:rPr>
                <w:rFonts w:ascii="仿宋_GB2312" w:eastAsia="仿宋_GB2312"/>
                <w:color w:val="000000" w:themeColor="text1"/>
                <w:sz w:val="21"/>
                <w:szCs w:val="21"/>
              </w:rPr>
              <w:t>2、2年内2次以上查处的，或在社会上造成恶劣影响的，或有其他严重情节的：罚款1万元。</w:t>
            </w:r>
          </w:p>
        </w:tc>
        <w:tc>
          <w:tcPr>
            <w:tcW w:w="720" w:type="dxa"/>
            <w:tcBorders>
              <w:top w:val="nil"/>
              <w:left w:val="single" w:color="auto" w:sz="4" w:space="0"/>
              <w:bottom w:val="single" w:color="000000" w:sz="4" w:space="0"/>
              <w:right w:val="single" w:color="auto" w:sz="4" w:space="0"/>
            </w:tcBorders>
            <w:shd w:val="clear" w:color="auto" w:fill="auto"/>
            <w:vAlign w:val="center"/>
          </w:tcPr>
          <w:p>
            <w:pPr>
              <w:rPr>
                <w:rFonts w:ascii="仿宋_GB2312" w:eastAsia="仿宋_GB2312"/>
                <w:color w:val="000000" w:themeColor="text1"/>
                <w:sz w:val="21"/>
                <w:szCs w:val="21"/>
              </w:rPr>
            </w:pPr>
          </w:p>
        </w:tc>
      </w:tr>
      <w:tr>
        <w:tblPrEx>
          <w:tblLayout w:type="fixed"/>
          <w:tblCellMar>
            <w:top w:w="15" w:type="dxa"/>
            <w:left w:w="15" w:type="dxa"/>
            <w:bottom w:w="0" w:type="dxa"/>
            <w:right w:w="15" w:type="dxa"/>
          </w:tblCellMar>
        </w:tblPrEx>
        <w:trPr>
          <w:trHeight w:val="1357" w:hRule="atLeast"/>
          <w:jc w:val="center"/>
        </w:trPr>
        <w:tc>
          <w:tcPr>
            <w:tcW w:w="241"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000000" w:themeColor="text1"/>
                <w:sz w:val="21"/>
                <w:szCs w:val="21"/>
              </w:rPr>
            </w:pPr>
            <w:r>
              <w:rPr>
                <w:rFonts w:hint="eastAsia" w:ascii="仿宋_GB2312" w:eastAsia="仿宋_GB2312"/>
                <w:bCs/>
                <w:color w:val="000000" w:themeColor="text1"/>
                <w:sz w:val="21"/>
                <w:szCs w:val="21"/>
              </w:rPr>
              <w:t>9</w:t>
            </w:r>
          </w:p>
        </w:tc>
        <w:tc>
          <w:tcPr>
            <w:tcW w:w="2643"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经营性互联网文化单位擅自变更进口互联网文化产品的名称或者增删内容</w:t>
            </w:r>
          </w:p>
        </w:tc>
        <w:tc>
          <w:tcPr>
            <w:tcW w:w="3913"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二十六条：经营性互联网文化单位违反本规定第十五条，擅自变更进口互联网文化产品的名称或者增删内容的，由县级以上人民政府文化行政部门或者文化市场综合执法机构责令停止提供，没收违法所得，并处10000元以上30000元 以下罚款；情节严重的，责令停业整顿直至吊销《网络文化经营许可证》；构成犯罪的，依法追究刑事责任。</w:t>
            </w:r>
          </w:p>
        </w:tc>
        <w:tc>
          <w:tcPr>
            <w:tcW w:w="1267"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《互联网文化管理暂行规定》第十五条第三款</w:t>
            </w:r>
          </w:p>
        </w:tc>
        <w:tc>
          <w:tcPr>
            <w:tcW w:w="1267"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《互联网文化管理暂行规定》第二十六条</w:t>
            </w:r>
          </w:p>
        </w:tc>
        <w:tc>
          <w:tcPr>
            <w:tcW w:w="3932"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1、2年内第1次查处的：没收违法所得，并处罚款1万元；</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2、2年内第2次查处的：没收违法所得，并处罚款3万元；</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3、2年内3次以上查处的：责令停业整顿；</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4、在社会上造成恶劣影响的，或有其他严重情节的：吊销《网络文化经营许可证》。        </w:t>
            </w:r>
          </w:p>
        </w:tc>
        <w:tc>
          <w:tcPr>
            <w:tcW w:w="72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p>
        </w:tc>
      </w:tr>
      <w:tr>
        <w:tblPrEx>
          <w:tblLayout w:type="fixed"/>
          <w:tblCellMar>
            <w:top w:w="15" w:type="dxa"/>
            <w:left w:w="15" w:type="dxa"/>
            <w:bottom w:w="0" w:type="dxa"/>
            <w:right w:w="15" w:type="dxa"/>
          </w:tblCellMar>
        </w:tblPrEx>
        <w:trPr>
          <w:trHeight w:val="854" w:hRule="atLeast"/>
          <w:jc w:val="center"/>
        </w:trPr>
        <w:tc>
          <w:tcPr>
            <w:tcW w:w="241"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000000" w:themeColor="text1"/>
                <w:sz w:val="21"/>
                <w:szCs w:val="21"/>
              </w:rPr>
            </w:pPr>
            <w:r>
              <w:rPr>
                <w:rFonts w:hint="eastAsia" w:ascii="仿宋_GB2312" w:eastAsia="仿宋_GB2312"/>
                <w:bCs/>
                <w:color w:val="000000" w:themeColor="text1"/>
                <w:sz w:val="21"/>
                <w:szCs w:val="21"/>
              </w:rPr>
              <w:t>10</w:t>
            </w:r>
          </w:p>
        </w:tc>
        <w:tc>
          <w:tcPr>
            <w:tcW w:w="2643"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经营性互联网文化单位经营国产互联网文化产品逾期未报文化行政部门备案</w:t>
            </w:r>
          </w:p>
        </w:tc>
        <w:tc>
          <w:tcPr>
            <w:tcW w:w="3913"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二十七条：经营性互联网文化单位违反本规定第十五条，经营国产互联网文化产品逾期未报文化行政部门备案的，由县级以上人民政府文化行政部门或者文化市场综合执法机构责令改正，并可根据情节轻重处20000元以下罚款。</w:t>
            </w:r>
          </w:p>
        </w:tc>
        <w:tc>
          <w:tcPr>
            <w:tcW w:w="1267"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《互联网文化管理暂行规定》第十五条</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第四款</w:t>
            </w:r>
          </w:p>
        </w:tc>
        <w:tc>
          <w:tcPr>
            <w:tcW w:w="1267"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《互联网文化管理暂行规定》第二十七条</w:t>
            </w:r>
          </w:p>
        </w:tc>
        <w:tc>
          <w:tcPr>
            <w:tcW w:w="3932"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1、2年内第1次查处的：罚款2000元；</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2、2年内2次以上查处的，或在社会上造成恶劣影响的，或有其他严重情节的：罚款1万元。</w:t>
            </w:r>
          </w:p>
        </w:tc>
        <w:tc>
          <w:tcPr>
            <w:tcW w:w="72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p>
        </w:tc>
      </w:tr>
      <w:tr>
        <w:tblPrEx>
          <w:tblLayout w:type="fixed"/>
          <w:tblCellMar>
            <w:top w:w="15" w:type="dxa"/>
            <w:left w:w="15" w:type="dxa"/>
            <w:bottom w:w="0" w:type="dxa"/>
            <w:right w:w="15" w:type="dxa"/>
          </w:tblCellMar>
        </w:tblPrEx>
        <w:trPr>
          <w:trHeight w:val="1357" w:hRule="atLeast"/>
          <w:jc w:val="center"/>
        </w:trPr>
        <w:tc>
          <w:tcPr>
            <w:tcW w:w="241"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Cs/>
                <w:color w:val="000000" w:themeColor="text1"/>
                <w:sz w:val="21"/>
                <w:szCs w:val="21"/>
              </w:rPr>
            </w:pPr>
            <w:r>
              <w:rPr>
                <w:rFonts w:hint="eastAsia" w:ascii="仿宋_GB2312" w:eastAsia="仿宋_GB2312"/>
                <w:bCs/>
                <w:color w:val="000000" w:themeColor="text1"/>
                <w:sz w:val="21"/>
                <w:szCs w:val="21"/>
              </w:rPr>
              <w:t>11</w:t>
            </w:r>
          </w:p>
        </w:tc>
        <w:tc>
          <w:tcPr>
            <w:tcW w:w="2643"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经营性互联网文化单位提供含有禁止内容的互联网文化产品</w:t>
            </w:r>
          </w:p>
        </w:tc>
        <w:tc>
          <w:tcPr>
            <w:tcW w:w="3913"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二十八条：经营性互联网文化单位提供含有本规定第十六条禁止内容的互联网文化产品，或者提供未经文化部批准进口的互联网文化产品的，由县级以上人民政府文化行政部门或者文化市场综合执法机构责令停止提供，没收违法所得，并处 10000元以上30000元以</w:t>
            </w:r>
            <w:bookmarkStart w:id="0" w:name="_GoBack"/>
            <w:bookmarkEnd w:id="0"/>
            <w:r>
              <w:rPr>
                <w:rFonts w:hint="eastAsia" w:ascii="仿宋_GB2312" w:eastAsia="仿宋_GB2312"/>
                <w:color w:val="000000" w:themeColor="text1"/>
                <w:sz w:val="21"/>
                <w:szCs w:val="21"/>
              </w:rPr>
              <w:t>下罚款；情节严重的，责令停业整顿直至吊销《网络文化经营许可证》；构成犯罪的，依法追究刑事责任。</w:t>
            </w:r>
          </w:p>
        </w:tc>
        <w:tc>
          <w:tcPr>
            <w:tcW w:w="1267"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《互联网文化管理暂行规定》第十六条</w:t>
            </w:r>
          </w:p>
        </w:tc>
        <w:tc>
          <w:tcPr>
            <w:tcW w:w="1267"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《互联网文化管理暂行规定》第二十八条第一款</w:t>
            </w:r>
          </w:p>
        </w:tc>
        <w:tc>
          <w:tcPr>
            <w:tcW w:w="3932" w:type="dxa"/>
            <w:tcBorders>
              <w:top w:val="nil"/>
              <w:left w:val="nil"/>
              <w:bottom w:val="single" w:color="auto" w:sz="4" w:space="0"/>
              <w:right w:val="single" w:color="auto" w:sz="4" w:space="0"/>
            </w:tcBorders>
            <w:shd w:val="clear" w:color="auto" w:fill="auto"/>
            <w:vAlign w:val="center"/>
          </w:tcPr>
          <w:p>
            <w:pPr>
              <w:pStyle w:val="3"/>
              <w:rPr>
                <w:rFonts w:ascii="仿宋_GB2312" w:eastAsia="仿宋_GB2312"/>
                <w:color w:val="000000" w:themeColor="text1"/>
                <w:sz w:val="21"/>
                <w:szCs w:val="21"/>
              </w:rPr>
            </w:pPr>
            <w:r>
              <w:rPr>
                <w:rFonts w:hint="eastAsia" w:ascii="仿宋_GB2312" w:eastAsia="仿宋_GB2312"/>
                <w:color w:val="000000" w:themeColor="text1"/>
                <w:sz w:val="21"/>
                <w:szCs w:val="21"/>
              </w:rPr>
              <w:t>一、含有本规定第十六条第1-7项规定的禁止内容：</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1、没收违法所得，并处罚款3万元；</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2、在社会上造成恶劣影响的，或造成其他严重后果的：责令停业整顿直至吊销《网络文化经营许可证》。</w:t>
            </w:r>
          </w:p>
          <w:p>
            <w:pPr>
              <w:pStyle w:val="3"/>
              <w:rPr>
                <w:rFonts w:ascii="仿宋_GB2312" w:eastAsia="仿宋_GB2312"/>
                <w:color w:val="000000" w:themeColor="text1"/>
                <w:sz w:val="21"/>
                <w:szCs w:val="21"/>
              </w:rPr>
            </w:pPr>
            <w:r>
              <w:rPr>
                <w:rFonts w:hint="eastAsia" w:ascii="仿宋_GB2312" w:eastAsia="仿宋_GB2312"/>
                <w:color w:val="000000" w:themeColor="text1"/>
                <w:sz w:val="21"/>
                <w:szCs w:val="21"/>
              </w:rPr>
              <w:t>二、含有本规定第十六条规定的其他禁止内容：</w:t>
            </w:r>
          </w:p>
          <w:p>
            <w:pPr>
              <w:pStyle w:val="3"/>
              <w:rPr>
                <w:rFonts w:ascii="仿宋_GB2312" w:eastAsia="仿宋_GB2312"/>
                <w:color w:val="000000" w:themeColor="text1"/>
                <w:sz w:val="21"/>
                <w:szCs w:val="21"/>
              </w:rPr>
            </w:pPr>
            <w:r>
              <w:rPr>
                <w:rFonts w:hint="eastAsia" w:ascii="仿宋_GB2312" w:eastAsia="仿宋_GB2312"/>
                <w:color w:val="000000" w:themeColor="text1"/>
                <w:sz w:val="21"/>
                <w:szCs w:val="21"/>
              </w:rPr>
              <w:t>1、没收违法所得，并处罚款1万元；</w:t>
            </w:r>
          </w:p>
          <w:p>
            <w:pPr>
              <w:pStyle w:val="3"/>
              <w:rPr>
                <w:rFonts w:ascii="仿宋_GB2312" w:eastAsia="仿宋_GB2312"/>
                <w:color w:val="000000" w:themeColor="text1"/>
                <w:sz w:val="21"/>
                <w:szCs w:val="21"/>
              </w:rPr>
            </w:pPr>
            <w:r>
              <w:rPr>
                <w:rFonts w:hint="eastAsia" w:ascii="仿宋_GB2312" w:eastAsia="仿宋_GB2312"/>
                <w:color w:val="000000" w:themeColor="text1"/>
                <w:sz w:val="21"/>
                <w:szCs w:val="21"/>
              </w:rPr>
              <w:t>2、有其他严重情节的，没收违法所得，并处罚款3万元；</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3、在社会上造成恶劣影响的，或造成其他严重后果的：责令停业整顿直至吊销《网络文化经营许可证》。</w:t>
            </w:r>
          </w:p>
        </w:tc>
        <w:tc>
          <w:tcPr>
            <w:tcW w:w="72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p>
        </w:tc>
      </w:tr>
      <w:tr>
        <w:tblPrEx>
          <w:tblLayout w:type="fixed"/>
          <w:tblCellMar>
            <w:top w:w="15" w:type="dxa"/>
            <w:left w:w="15" w:type="dxa"/>
            <w:bottom w:w="0" w:type="dxa"/>
            <w:right w:w="15" w:type="dxa"/>
          </w:tblCellMar>
        </w:tblPrEx>
        <w:trPr>
          <w:trHeight w:val="1357" w:hRule="atLeast"/>
          <w:jc w:val="center"/>
        </w:trPr>
        <w:tc>
          <w:tcPr>
            <w:tcW w:w="241"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Cs/>
                <w:color w:val="000000" w:themeColor="text1"/>
                <w:sz w:val="21"/>
                <w:szCs w:val="21"/>
              </w:rPr>
            </w:pPr>
            <w:r>
              <w:rPr>
                <w:rFonts w:hint="eastAsia" w:ascii="仿宋_GB2312" w:eastAsia="仿宋_GB2312"/>
                <w:bCs/>
                <w:color w:val="000000" w:themeColor="text1"/>
                <w:sz w:val="21"/>
                <w:szCs w:val="21"/>
              </w:rPr>
              <w:t>12</w:t>
            </w:r>
          </w:p>
        </w:tc>
        <w:tc>
          <w:tcPr>
            <w:tcW w:w="2643"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经营性互联网文化单位提供未经文化部批准进口的互联网文化产品</w:t>
            </w:r>
          </w:p>
        </w:tc>
        <w:tc>
          <w:tcPr>
            <w:tcW w:w="3913"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二十八条：经营性互联网文化单位提供含有本规定第十六条禁止内容的互联网文化产品，或者提供未经文化部批准进口的互联网文化产品的，由县级以上人民政府文化行政部门或者文化市场综合执法机构责令停止提供，没收违法所得，并处10000元以上30000元以下罚款；情节严重的，责令停业整顿直至吊销《网络文化经营许可证》；构成犯罪的，依法追究刑事责任。</w:t>
            </w:r>
          </w:p>
        </w:tc>
        <w:tc>
          <w:tcPr>
            <w:tcW w:w="1267"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《互联网文化管理暂行规定》第十五条第一款</w:t>
            </w:r>
          </w:p>
        </w:tc>
        <w:tc>
          <w:tcPr>
            <w:tcW w:w="1267"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《互联网文化管理暂行规定》第二十八条第一款</w:t>
            </w:r>
          </w:p>
        </w:tc>
        <w:tc>
          <w:tcPr>
            <w:tcW w:w="3932" w:type="dxa"/>
            <w:tcBorders>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1、2年内第1次查处的：没收违法所得，并处罚款1万元；</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2、2年内第2次查处的：没收违法所得，并处罚款3万元；</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3、2年内3次以上查处的：责令停业整顿；</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4、含有本规定第十六条第1-7项规定的禁止内容并在社会上造成恶劣影响的，或有其他严重情节的：吊销《网络文化经营许可证》。</w:t>
            </w:r>
          </w:p>
        </w:tc>
        <w:tc>
          <w:tcPr>
            <w:tcW w:w="72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p>
        </w:tc>
      </w:tr>
      <w:tr>
        <w:tblPrEx>
          <w:tblLayout w:type="fixed"/>
          <w:tblCellMar>
            <w:top w:w="15" w:type="dxa"/>
            <w:left w:w="15" w:type="dxa"/>
            <w:bottom w:w="0" w:type="dxa"/>
            <w:right w:w="15" w:type="dxa"/>
          </w:tblCellMar>
        </w:tblPrEx>
        <w:trPr>
          <w:trHeight w:val="1021" w:hRule="atLeast"/>
          <w:jc w:val="center"/>
        </w:trPr>
        <w:tc>
          <w:tcPr>
            <w:tcW w:w="241"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Cs/>
                <w:color w:val="000000" w:themeColor="text1"/>
                <w:sz w:val="21"/>
                <w:szCs w:val="21"/>
              </w:rPr>
            </w:pPr>
            <w:r>
              <w:rPr>
                <w:rFonts w:hint="eastAsia" w:ascii="仿宋_GB2312" w:eastAsia="仿宋_GB2312"/>
                <w:bCs/>
                <w:color w:val="000000" w:themeColor="text1"/>
                <w:sz w:val="21"/>
                <w:szCs w:val="21"/>
              </w:rPr>
              <w:t>13</w:t>
            </w:r>
          </w:p>
        </w:tc>
        <w:tc>
          <w:tcPr>
            <w:tcW w:w="2643"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非经营性互联网文化单位提供含有禁止内容的互联网文化产品</w:t>
            </w:r>
          </w:p>
        </w:tc>
        <w:tc>
          <w:tcPr>
            <w:tcW w:w="3913"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二十八条：非经营性互联网文化单位，提供含有本规定第十六条禁止内容的互联网文化产品，或者提供未经文化部批准进口的互联网文化产品的，由县级以上人民政府文化行政部门或者文化市场综合执法机构责令停止提供，处1000元以下罚款；构成犯罪的，依法追究刑事责任。</w:t>
            </w:r>
          </w:p>
        </w:tc>
        <w:tc>
          <w:tcPr>
            <w:tcW w:w="1267"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《互联网文化管理暂行规定》第十六条</w:t>
            </w:r>
          </w:p>
        </w:tc>
        <w:tc>
          <w:tcPr>
            <w:tcW w:w="1267"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《互联网文化管理暂行规定》第二十八条</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第二款</w:t>
            </w:r>
          </w:p>
        </w:tc>
        <w:tc>
          <w:tcPr>
            <w:tcW w:w="3932" w:type="dxa"/>
            <w:vMerge w:val="restart"/>
            <w:tcBorders>
              <w:top w:val="nil"/>
              <w:left w:val="nil"/>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罚款1000元。</w:t>
            </w:r>
          </w:p>
        </w:tc>
        <w:tc>
          <w:tcPr>
            <w:tcW w:w="72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p>
        </w:tc>
      </w:tr>
      <w:tr>
        <w:tblPrEx>
          <w:tblLayout w:type="fixed"/>
          <w:tblCellMar>
            <w:top w:w="15" w:type="dxa"/>
            <w:left w:w="15" w:type="dxa"/>
            <w:bottom w:w="0" w:type="dxa"/>
            <w:right w:w="15" w:type="dxa"/>
          </w:tblCellMar>
        </w:tblPrEx>
        <w:trPr>
          <w:trHeight w:val="1021" w:hRule="atLeast"/>
          <w:jc w:val="center"/>
        </w:trPr>
        <w:tc>
          <w:tcPr>
            <w:tcW w:w="241"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Cs/>
                <w:color w:val="000000" w:themeColor="text1"/>
                <w:sz w:val="21"/>
                <w:szCs w:val="21"/>
              </w:rPr>
            </w:pPr>
            <w:r>
              <w:rPr>
                <w:rFonts w:hint="eastAsia" w:ascii="仿宋_GB2312" w:eastAsia="仿宋_GB2312"/>
                <w:bCs/>
                <w:color w:val="000000" w:themeColor="text1"/>
                <w:sz w:val="21"/>
                <w:szCs w:val="21"/>
              </w:rPr>
              <w:t>14</w:t>
            </w:r>
          </w:p>
        </w:tc>
        <w:tc>
          <w:tcPr>
            <w:tcW w:w="2643"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非经营性互联网文化单位提供未经文化部批准进口的互联网文化产品</w:t>
            </w:r>
          </w:p>
        </w:tc>
        <w:tc>
          <w:tcPr>
            <w:tcW w:w="3913"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二十八条：非经营性互联网文化单位，提供含有本规定第十六条禁止内容的互联网文化产品，或者提供未经文化部批准进口的互联网文化产品的，由县级以上人民政府文化行政部门或者文化市场综合执法机构责令停止提供，处1000元以下罚款；构成犯罪的，依法追究刑事责任。</w:t>
            </w:r>
          </w:p>
        </w:tc>
        <w:tc>
          <w:tcPr>
            <w:tcW w:w="1267"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《互联网文化管理暂行规定》第十五条第一款</w:t>
            </w:r>
          </w:p>
        </w:tc>
        <w:tc>
          <w:tcPr>
            <w:tcW w:w="1267"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《互联网文化管理暂行规定》第二十八条</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第二款</w:t>
            </w:r>
          </w:p>
        </w:tc>
        <w:tc>
          <w:tcPr>
            <w:tcW w:w="3932" w:type="dxa"/>
            <w:vMerge w:val="continue"/>
            <w:tcBorders>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p>
        </w:tc>
        <w:tc>
          <w:tcPr>
            <w:tcW w:w="72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p>
        </w:tc>
      </w:tr>
      <w:tr>
        <w:tblPrEx>
          <w:tblLayout w:type="fixed"/>
          <w:tblCellMar>
            <w:top w:w="15" w:type="dxa"/>
            <w:left w:w="15" w:type="dxa"/>
            <w:bottom w:w="0" w:type="dxa"/>
            <w:right w:w="15" w:type="dxa"/>
          </w:tblCellMar>
        </w:tblPrEx>
        <w:trPr>
          <w:trHeight w:val="686" w:hRule="atLeast"/>
          <w:jc w:val="center"/>
        </w:trPr>
        <w:tc>
          <w:tcPr>
            <w:tcW w:w="24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Cs/>
                <w:color w:val="000000" w:themeColor="text1"/>
                <w:sz w:val="21"/>
                <w:szCs w:val="21"/>
              </w:rPr>
            </w:pPr>
            <w:r>
              <w:rPr>
                <w:rFonts w:hint="eastAsia" w:ascii="仿宋_GB2312" w:eastAsia="仿宋_GB2312"/>
                <w:bCs/>
                <w:color w:val="000000" w:themeColor="text1"/>
                <w:sz w:val="21"/>
                <w:szCs w:val="21"/>
              </w:rPr>
              <w:t>15</w:t>
            </w:r>
          </w:p>
        </w:tc>
        <w:tc>
          <w:tcPr>
            <w:tcW w:w="264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经营性互联网文化单位未按规定建立自审制度或者未明确专门部门、配备专业人员负责互联网文化产品内容和活动的自查与管理</w:t>
            </w:r>
          </w:p>
        </w:tc>
        <w:tc>
          <w:tcPr>
            <w:tcW w:w="3913"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《互联网文化管理暂行规定》第二十九条：经营性互联网文化单位违反本规定第十八条的，由县级以上人民政府文化行政部门或者文化市场综合执法机构责令改正，并可根据情节轻重处20000元以下罚款。</w:t>
            </w:r>
          </w:p>
        </w:tc>
        <w:tc>
          <w:tcPr>
            <w:tcW w:w="1267"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《互联网文化管理暂行规定》第十八条</w:t>
            </w:r>
          </w:p>
        </w:tc>
        <w:tc>
          <w:tcPr>
            <w:tcW w:w="1267"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《互联网文化管理暂行规定》第二十九条</w:t>
            </w:r>
          </w:p>
        </w:tc>
        <w:tc>
          <w:tcPr>
            <w:tcW w:w="3932"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1、2年内第1次查处的：罚款2000元；</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2、2年内2次以上查处的，或在社会上造成恶劣影响的，或有其他严重情节的：罚款1万元。</w:t>
            </w:r>
          </w:p>
        </w:tc>
        <w:tc>
          <w:tcPr>
            <w:tcW w:w="72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p>
        </w:tc>
      </w:tr>
      <w:tr>
        <w:tblPrEx>
          <w:tblLayout w:type="fixed"/>
          <w:tblCellMar>
            <w:top w:w="15" w:type="dxa"/>
            <w:left w:w="15" w:type="dxa"/>
            <w:bottom w:w="0" w:type="dxa"/>
            <w:right w:w="15" w:type="dxa"/>
          </w:tblCellMar>
        </w:tblPrEx>
        <w:trPr>
          <w:trHeight w:val="1357" w:hRule="atLeast"/>
          <w:jc w:val="center"/>
        </w:trPr>
        <w:tc>
          <w:tcPr>
            <w:tcW w:w="241"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Cs/>
                <w:color w:val="000000" w:themeColor="text1"/>
                <w:sz w:val="21"/>
                <w:szCs w:val="21"/>
              </w:rPr>
            </w:pPr>
            <w:r>
              <w:rPr>
                <w:rFonts w:hint="eastAsia" w:ascii="仿宋_GB2312" w:eastAsia="仿宋_GB2312"/>
                <w:bCs/>
                <w:color w:val="000000" w:themeColor="text1"/>
                <w:sz w:val="21"/>
                <w:szCs w:val="21"/>
              </w:rPr>
              <w:t>16</w:t>
            </w:r>
          </w:p>
        </w:tc>
        <w:tc>
          <w:tcPr>
            <w:tcW w:w="2643"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互联网文化单位发现所提供的互联网文化产品含有禁止内容未立即停止提供并保存有关记录，或者未向所在地省、自治区、直辖市人民政府文化行政部门报告并抄报文化部</w:t>
            </w:r>
          </w:p>
        </w:tc>
        <w:tc>
          <w:tcPr>
            <w:tcW w:w="3913"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《互联网文化管理暂行规定》第三十条：经营性互联网文化单位违反本规定第十九条的，由县级以上人民政府文化行政部门或者文化市场综合执法机构予以警告，责令限期改正，并处10000元以下罚款。</w:t>
            </w:r>
          </w:p>
        </w:tc>
        <w:tc>
          <w:tcPr>
            <w:tcW w:w="1267"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《互联网文化管理暂行规定》第十九条</w:t>
            </w:r>
          </w:p>
        </w:tc>
        <w:tc>
          <w:tcPr>
            <w:tcW w:w="1267"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《互联网文化管理暂行规定》第三十条</w:t>
            </w:r>
          </w:p>
        </w:tc>
        <w:tc>
          <w:tcPr>
            <w:tcW w:w="3932"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1、2年内第1次查处的：警告、罚款2000元；</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2、2年内2次以上查处的，或在社会上造成恶劣影响的，或有其他严重情节的：警告，罚款1万元。</w:t>
            </w:r>
          </w:p>
        </w:tc>
        <w:tc>
          <w:tcPr>
            <w:tcW w:w="720"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rPr>
            </w:pPr>
          </w:p>
        </w:tc>
      </w:tr>
      <w:tr>
        <w:tblPrEx>
          <w:tblLayout w:type="fixed"/>
          <w:tblCellMar>
            <w:top w:w="15" w:type="dxa"/>
            <w:left w:w="15" w:type="dxa"/>
            <w:bottom w:w="0" w:type="dxa"/>
            <w:right w:w="15" w:type="dxa"/>
          </w:tblCellMar>
        </w:tblPrEx>
        <w:trPr>
          <w:trHeight w:val="90" w:hRule="atLeast"/>
          <w:jc w:val="center"/>
          <w:hidden/>
        </w:trPr>
        <w:tc>
          <w:tcPr>
            <w:tcW w:w="241" w:type="dxa"/>
            <w:shd w:val="clear" w:color="auto" w:fill="auto"/>
            <w:vAlign w:val="center"/>
          </w:tcPr>
          <w:p>
            <w:pPr>
              <w:jc w:val="center"/>
              <w:rPr>
                <w:rFonts w:ascii="仿宋_GB2312" w:eastAsia="仿宋_GB2312"/>
                <w:vanish/>
                <w:color w:val="000000" w:themeColor="text1"/>
                <w:sz w:val="21"/>
                <w:szCs w:val="21"/>
              </w:rPr>
            </w:pPr>
          </w:p>
        </w:tc>
        <w:tc>
          <w:tcPr>
            <w:tcW w:w="2643" w:type="dxa"/>
            <w:shd w:val="clear" w:color="auto" w:fill="auto"/>
            <w:vAlign w:val="center"/>
          </w:tcPr>
          <w:p>
            <w:pPr>
              <w:rPr>
                <w:rFonts w:ascii="仿宋_GB2312" w:eastAsia="仿宋_GB2312"/>
                <w:vanish/>
                <w:color w:val="000000" w:themeColor="text1"/>
                <w:sz w:val="21"/>
                <w:szCs w:val="21"/>
              </w:rPr>
            </w:pPr>
          </w:p>
        </w:tc>
        <w:tc>
          <w:tcPr>
            <w:tcW w:w="3913" w:type="dxa"/>
            <w:shd w:val="clear" w:color="auto" w:fill="auto"/>
            <w:vAlign w:val="center"/>
          </w:tcPr>
          <w:p>
            <w:pPr>
              <w:rPr>
                <w:rFonts w:ascii="仿宋_GB2312" w:eastAsia="仿宋_GB2312"/>
                <w:vanish/>
                <w:color w:val="000000" w:themeColor="text1"/>
                <w:sz w:val="21"/>
                <w:szCs w:val="21"/>
              </w:rPr>
            </w:pPr>
          </w:p>
        </w:tc>
        <w:tc>
          <w:tcPr>
            <w:tcW w:w="1267" w:type="dxa"/>
            <w:shd w:val="clear" w:color="auto" w:fill="auto"/>
            <w:vAlign w:val="center"/>
          </w:tcPr>
          <w:p>
            <w:pPr>
              <w:rPr>
                <w:rFonts w:ascii="仿宋_GB2312" w:eastAsia="仿宋_GB2312"/>
                <w:vanish/>
                <w:color w:val="000000" w:themeColor="text1"/>
                <w:sz w:val="21"/>
                <w:szCs w:val="21"/>
              </w:rPr>
            </w:pPr>
          </w:p>
        </w:tc>
        <w:tc>
          <w:tcPr>
            <w:tcW w:w="1267" w:type="dxa"/>
            <w:shd w:val="clear" w:color="auto" w:fill="auto"/>
            <w:vAlign w:val="center"/>
          </w:tcPr>
          <w:p>
            <w:pPr>
              <w:rPr>
                <w:rFonts w:ascii="仿宋_GB2312" w:eastAsia="仿宋_GB2312"/>
                <w:vanish/>
                <w:color w:val="000000" w:themeColor="text1"/>
                <w:sz w:val="21"/>
                <w:szCs w:val="21"/>
              </w:rPr>
            </w:pPr>
          </w:p>
        </w:tc>
        <w:tc>
          <w:tcPr>
            <w:tcW w:w="3932" w:type="dxa"/>
            <w:shd w:val="clear" w:color="auto" w:fill="auto"/>
            <w:vAlign w:val="center"/>
          </w:tcPr>
          <w:p>
            <w:pPr>
              <w:rPr>
                <w:rFonts w:ascii="仿宋_GB2312" w:eastAsia="仿宋_GB2312"/>
                <w:vanish/>
                <w:color w:val="000000" w:themeColor="text1"/>
                <w:sz w:val="21"/>
                <w:szCs w:val="21"/>
              </w:rPr>
            </w:pPr>
          </w:p>
        </w:tc>
        <w:tc>
          <w:tcPr>
            <w:tcW w:w="720" w:type="dxa"/>
            <w:shd w:val="clear" w:color="auto" w:fill="auto"/>
            <w:vAlign w:val="center"/>
          </w:tcPr>
          <w:p>
            <w:pPr>
              <w:rPr>
                <w:rFonts w:ascii="仿宋_GB2312" w:eastAsia="仿宋_GB2312"/>
                <w:vanish/>
                <w:color w:val="000000" w:themeColor="text1"/>
                <w:sz w:val="21"/>
                <w:szCs w:val="21"/>
              </w:rPr>
            </w:pPr>
          </w:p>
        </w:tc>
      </w:tr>
    </w:tbl>
    <w:p>
      <w:pPr>
        <w:rPr>
          <w:rFonts w:ascii="仿宋_GB2312" w:eastAsia="仿宋_GB2312"/>
          <w:color w:val="000000" w:themeColor="text1"/>
          <w:sz w:val="21"/>
          <w:szCs w:val="21"/>
        </w:rPr>
      </w:pPr>
    </w:p>
    <w:sectPr>
      <w:pgSz w:w="16838" w:h="11906" w:orient="landscape"/>
      <w:pgMar w:top="1800" w:right="1440" w:bottom="1800" w:left="1440"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noPunctuationKerning w:val="1"/>
  <w:characterSpacingControl w:val="doNotCompress"/>
  <w:compat>
    <w:doNotExpandShiftReturn/>
    <w:doNotSnapToGridInCell/>
    <w:doNotWrapTextWithPunct/>
    <w:doNotUseEastAsianBreakRules/>
    <w:growAutofit/>
    <w:useFELayout/>
    <w:doNotUseIndentAsNumberingTabStop/>
    <w:useAltKinsokuLineBreakRules/>
    <w:compatSetting w:name="compatibilityMode" w:uri="http://schemas.microsoft.com/office/word" w:val="12"/>
  </w:compat>
  <w:rsids>
    <w:rsidRoot w:val="00B90CB3"/>
    <w:rsid w:val="00065B68"/>
    <w:rsid w:val="000846D9"/>
    <w:rsid w:val="000E12C4"/>
    <w:rsid w:val="0011655F"/>
    <w:rsid w:val="00182178"/>
    <w:rsid w:val="001D06BC"/>
    <w:rsid w:val="001E1977"/>
    <w:rsid w:val="002163CB"/>
    <w:rsid w:val="00281518"/>
    <w:rsid w:val="00293495"/>
    <w:rsid w:val="002C1A14"/>
    <w:rsid w:val="002F17C5"/>
    <w:rsid w:val="002F3148"/>
    <w:rsid w:val="003058C6"/>
    <w:rsid w:val="00325E93"/>
    <w:rsid w:val="003479BA"/>
    <w:rsid w:val="00364FA8"/>
    <w:rsid w:val="0038701C"/>
    <w:rsid w:val="003E7DB8"/>
    <w:rsid w:val="00407DD7"/>
    <w:rsid w:val="00433082"/>
    <w:rsid w:val="00442D25"/>
    <w:rsid w:val="00457356"/>
    <w:rsid w:val="004749D2"/>
    <w:rsid w:val="00493E7A"/>
    <w:rsid w:val="004A443E"/>
    <w:rsid w:val="004C34BC"/>
    <w:rsid w:val="004E7A46"/>
    <w:rsid w:val="004F5210"/>
    <w:rsid w:val="00557213"/>
    <w:rsid w:val="00560416"/>
    <w:rsid w:val="00561A20"/>
    <w:rsid w:val="005A14DE"/>
    <w:rsid w:val="005A66D5"/>
    <w:rsid w:val="005B250E"/>
    <w:rsid w:val="005B7025"/>
    <w:rsid w:val="005B745C"/>
    <w:rsid w:val="005D67D0"/>
    <w:rsid w:val="00602851"/>
    <w:rsid w:val="00610F17"/>
    <w:rsid w:val="00634335"/>
    <w:rsid w:val="00647161"/>
    <w:rsid w:val="00661CAC"/>
    <w:rsid w:val="006814B0"/>
    <w:rsid w:val="00692E28"/>
    <w:rsid w:val="007041E4"/>
    <w:rsid w:val="00727C67"/>
    <w:rsid w:val="007A50EB"/>
    <w:rsid w:val="007E7DD0"/>
    <w:rsid w:val="0080191F"/>
    <w:rsid w:val="00825D97"/>
    <w:rsid w:val="008419CD"/>
    <w:rsid w:val="00850EAD"/>
    <w:rsid w:val="00877C13"/>
    <w:rsid w:val="00893673"/>
    <w:rsid w:val="008B4A7F"/>
    <w:rsid w:val="008F60AF"/>
    <w:rsid w:val="00940F72"/>
    <w:rsid w:val="009B39A4"/>
    <w:rsid w:val="009E2BEF"/>
    <w:rsid w:val="00A17BD1"/>
    <w:rsid w:val="00A46023"/>
    <w:rsid w:val="00A75F84"/>
    <w:rsid w:val="00A94C45"/>
    <w:rsid w:val="00AA45EF"/>
    <w:rsid w:val="00AC5343"/>
    <w:rsid w:val="00B271F6"/>
    <w:rsid w:val="00B33F0F"/>
    <w:rsid w:val="00B3405C"/>
    <w:rsid w:val="00B45160"/>
    <w:rsid w:val="00B47DCB"/>
    <w:rsid w:val="00B90B95"/>
    <w:rsid w:val="00B90CB3"/>
    <w:rsid w:val="00BC4DB1"/>
    <w:rsid w:val="00C01E28"/>
    <w:rsid w:val="00C3070E"/>
    <w:rsid w:val="00C40041"/>
    <w:rsid w:val="00C53AD0"/>
    <w:rsid w:val="00C57DD4"/>
    <w:rsid w:val="00C8039C"/>
    <w:rsid w:val="00CD553A"/>
    <w:rsid w:val="00D10EE1"/>
    <w:rsid w:val="00D8667E"/>
    <w:rsid w:val="00D93C5F"/>
    <w:rsid w:val="00DE0D4C"/>
    <w:rsid w:val="00DF3017"/>
    <w:rsid w:val="00E02D4A"/>
    <w:rsid w:val="00E41B34"/>
    <w:rsid w:val="00E611C3"/>
    <w:rsid w:val="00E72380"/>
    <w:rsid w:val="00EE5B06"/>
    <w:rsid w:val="00F1339E"/>
    <w:rsid w:val="00F30A51"/>
    <w:rsid w:val="00F901AA"/>
    <w:rsid w:val="00FC2283"/>
    <w:rsid w:val="00FD1417"/>
    <w:rsid w:val="01E0496E"/>
    <w:rsid w:val="08244DFA"/>
    <w:rsid w:val="0B3E09B6"/>
    <w:rsid w:val="0B80418F"/>
    <w:rsid w:val="11F336A5"/>
    <w:rsid w:val="13842619"/>
    <w:rsid w:val="14237CCD"/>
    <w:rsid w:val="155D5598"/>
    <w:rsid w:val="15B75F9D"/>
    <w:rsid w:val="1A050D49"/>
    <w:rsid w:val="1B6F5FB0"/>
    <w:rsid w:val="1DAE21AC"/>
    <w:rsid w:val="2065019B"/>
    <w:rsid w:val="21A578D2"/>
    <w:rsid w:val="222B7303"/>
    <w:rsid w:val="22AE66EE"/>
    <w:rsid w:val="24AA2231"/>
    <w:rsid w:val="2B0B3A50"/>
    <w:rsid w:val="33084A76"/>
    <w:rsid w:val="33511083"/>
    <w:rsid w:val="35CF1401"/>
    <w:rsid w:val="38864D4A"/>
    <w:rsid w:val="417A0FB5"/>
    <w:rsid w:val="43B9298F"/>
    <w:rsid w:val="44986E05"/>
    <w:rsid w:val="453E5858"/>
    <w:rsid w:val="45E71548"/>
    <w:rsid w:val="462E4C55"/>
    <w:rsid w:val="473C701D"/>
    <w:rsid w:val="48B15912"/>
    <w:rsid w:val="49B95CF4"/>
    <w:rsid w:val="49D62F2A"/>
    <w:rsid w:val="4C587813"/>
    <w:rsid w:val="50263E7B"/>
    <w:rsid w:val="566B063C"/>
    <w:rsid w:val="569E704C"/>
    <w:rsid w:val="56E30B70"/>
    <w:rsid w:val="5A1A02F3"/>
    <w:rsid w:val="60E707AD"/>
    <w:rsid w:val="61CA470B"/>
    <w:rsid w:val="684B3777"/>
    <w:rsid w:val="6908708F"/>
    <w:rsid w:val="6ADA3AE9"/>
    <w:rsid w:val="6C283B2D"/>
    <w:rsid w:val="6E073C10"/>
    <w:rsid w:val="6F5339DE"/>
    <w:rsid w:val="70AB72FE"/>
    <w:rsid w:val="70CF4B41"/>
    <w:rsid w:val="75E24A5E"/>
    <w:rsid w:val="76A77E06"/>
    <w:rsid w:val="76F45F2E"/>
    <w:rsid w:val="7AFC300E"/>
    <w:rsid w:val="7B961AB7"/>
    <w:rsid w:val="7CFF7D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8">
    <w:name w:val="Default Paragraph Font"/>
    <w:unhideWhenUsed/>
    <w:uiPriority w:val="1"/>
  </w:style>
  <w:style w:type="table" w:default="1" w:styleId="13">
    <w:name w:val="Normal Table"/>
    <w:unhideWhenUsed/>
    <w:uiPriority w:val="99"/>
    <w:tblPr>
      <w:tblLayout w:type="fixed"/>
      <w:tblCellMar>
        <w:top w:w="0" w:type="dxa"/>
        <w:left w:w="108" w:type="dxa"/>
        <w:bottom w:w="0" w:type="dxa"/>
        <w:right w:w="108" w:type="dxa"/>
      </w:tblCellMar>
    </w:tblPr>
  </w:style>
  <w:style w:type="paragraph" w:styleId="2">
    <w:name w:val="annotation subject"/>
    <w:basedOn w:val="3"/>
    <w:next w:val="3"/>
    <w:link w:val="71"/>
    <w:unhideWhenUsed/>
    <w:qFormat/>
    <w:uiPriority w:val="99"/>
    <w:rPr>
      <w:b/>
      <w:bCs/>
    </w:rPr>
  </w:style>
  <w:style w:type="paragraph" w:styleId="3">
    <w:name w:val="annotation text"/>
    <w:basedOn w:val="1"/>
    <w:link w:val="70"/>
    <w:unhideWhenUsed/>
    <w:qFormat/>
    <w:uiPriority w:val="99"/>
  </w:style>
  <w:style w:type="paragraph" w:styleId="4">
    <w:name w:val="Balloon Text"/>
    <w:basedOn w:val="1"/>
    <w:link w:val="72"/>
    <w:unhideWhenUsed/>
    <w:qFormat/>
    <w:uiPriority w:val="99"/>
    <w:rPr>
      <w:sz w:val="18"/>
      <w:szCs w:val="18"/>
    </w:rPr>
  </w:style>
  <w:style w:type="paragraph" w:styleId="5">
    <w:name w:val="footer"/>
    <w:basedOn w:val="1"/>
    <w:link w:val="69"/>
    <w:unhideWhenUsed/>
    <w:qFormat/>
    <w:uiPriority w:val="99"/>
    <w:pPr>
      <w:tabs>
        <w:tab w:val="center" w:pos="4153"/>
        <w:tab w:val="right" w:pos="8306"/>
      </w:tabs>
      <w:snapToGrid w:val="0"/>
    </w:pPr>
    <w:rPr>
      <w:sz w:val="18"/>
      <w:szCs w:val="18"/>
    </w:rPr>
  </w:style>
  <w:style w:type="paragraph" w:styleId="6">
    <w:name w:val="header"/>
    <w:basedOn w:val="1"/>
    <w:link w:val="68"/>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unhideWhenUsed/>
    <w:uiPriority w:val="99"/>
    <w:pPr>
      <w:spacing w:beforeAutospacing="1" w:afterAutospacing="1"/>
    </w:pPr>
    <w:rPr>
      <w:rFonts w:hint="eastAsia" w:cs="Times New Roman"/>
    </w:rPr>
  </w:style>
  <w:style w:type="character" w:styleId="9">
    <w:name w:val="Strong"/>
    <w:basedOn w:val="8"/>
    <w:qFormat/>
    <w:uiPriority w:val="22"/>
    <w:rPr>
      <w:rFonts w:hint="default" w:ascii="Times New Roman" w:hAnsi="Times New Roman" w:cs="Times New Roman"/>
      <w:b/>
    </w:rPr>
  </w:style>
  <w:style w:type="character" w:styleId="10">
    <w:name w:val="FollowedHyperlink"/>
    <w:basedOn w:val="8"/>
    <w:unhideWhenUsed/>
    <w:uiPriority w:val="99"/>
    <w:rPr>
      <w:color w:val="800080"/>
      <w:u w:val="single"/>
    </w:rPr>
  </w:style>
  <w:style w:type="character" w:styleId="11">
    <w:name w:val="Hyperlink"/>
    <w:basedOn w:val="8"/>
    <w:unhideWhenUsed/>
    <w:qFormat/>
    <w:uiPriority w:val="99"/>
    <w:rPr>
      <w:color w:val="0000FF"/>
      <w:u w:val="single"/>
    </w:rPr>
  </w:style>
  <w:style w:type="character" w:styleId="12">
    <w:name w:val="annotation reference"/>
    <w:basedOn w:val="8"/>
    <w:unhideWhenUsed/>
    <w:qFormat/>
    <w:uiPriority w:val="99"/>
    <w:rPr>
      <w:sz w:val="21"/>
      <w:szCs w:val="21"/>
    </w:rPr>
  </w:style>
  <w:style w:type="paragraph" w:customStyle="1" w:styleId="14">
    <w:name w:val="font527753"/>
    <w:basedOn w:val="1"/>
    <w:qFormat/>
    <w:uiPriority w:val="0"/>
    <w:pPr>
      <w:spacing w:before="100" w:beforeAutospacing="1" w:after="100" w:afterAutospacing="1"/>
    </w:pPr>
    <w:rPr>
      <w:rFonts w:ascii="仿宋_GB2312" w:eastAsia="仿宋_GB2312"/>
      <w:sz w:val="20"/>
      <w:szCs w:val="20"/>
    </w:rPr>
  </w:style>
  <w:style w:type="paragraph" w:customStyle="1" w:styleId="15">
    <w:name w:val="font627753"/>
    <w:basedOn w:val="1"/>
    <w:qFormat/>
    <w:uiPriority w:val="0"/>
    <w:pPr>
      <w:spacing w:before="100" w:beforeAutospacing="1" w:after="100" w:afterAutospacing="1"/>
    </w:pPr>
    <w:rPr>
      <w:rFonts w:ascii="仿宋_GB2312" w:eastAsia="仿宋_GB2312"/>
      <w:color w:val="FF0000"/>
      <w:sz w:val="20"/>
      <w:szCs w:val="20"/>
    </w:rPr>
  </w:style>
  <w:style w:type="paragraph" w:customStyle="1" w:styleId="16">
    <w:name w:val="font727753"/>
    <w:basedOn w:val="1"/>
    <w:qFormat/>
    <w:uiPriority w:val="0"/>
    <w:pPr>
      <w:spacing w:before="100" w:beforeAutospacing="1" w:after="100" w:afterAutospacing="1"/>
    </w:pPr>
    <w:rPr>
      <w:rFonts w:ascii="仿宋_GB2312" w:eastAsia="仿宋_GB2312"/>
      <w:color w:val="FF0000"/>
      <w:sz w:val="20"/>
      <w:szCs w:val="20"/>
    </w:rPr>
  </w:style>
  <w:style w:type="paragraph" w:customStyle="1" w:styleId="17">
    <w:name w:val="font827753"/>
    <w:basedOn w:val="1"/>
    <w:qFormat/>
    <w:uiPriority w:val="0"/>
    <w:pPr>
      <w:spacing w:before="100" w:beforeAutospacing="1" w:after="100" w:afterAutospacing="1"/>
    </w:pPr>
    <w:rPr>
      <w:rFonts w:ascii="仿宋_GB2312" w:eastAsia="仿宋_GB2312"/>
      <w:color w:val="333333"/>
      <w:sz w:val="20"/>
      <w:szCs w:val="20"/>
    </w:rPr>
  </w:style>
  <w:style w:type="paragraph" w:customStyle="1" w:styleId="18">
    <w:name w:val="font927753"/>
    <w:basedOn w:val="1"/>
    <w:qFormat/>
    <w:uiPriority w:val="0"/>
    <w:pPr>
      <w:spacing w:before="100" w:beforeAutospacing="1" w:after="100" w:afterAutospacing="1"/>
    </w:pPr>
    <w:rPr>
      <w:sz w:val="18"/>
      <w:szCs w:val="18"/>
    </w:rPr>
  </w:style>
  <w:style w:type="paragraph" w:customStyle="1" w:styleId="19">
    <w:name w:val="font1027753"/>
    <w:basedOn w:val="1"/>
    <w:qFormat/>
    <w:uiPriority w:val="0"/>
    <w:pPr>
      <w:spacing w:before="100" w:beforeAutospacing="1" w:after="100" w:afterAutospacing="1"/>
    </w:pPr>
    <w:rPr>
      <w:rFonts w:ascii="仿宋_GB2312" w:eastAsia="仿宋_GB2312"/>
      <w:color w:val="339966"/>
      <w:sz w:val="20"/>
      <w:szCs w:val="20"/>
    </w:rPr>
  </w:style>
  <w:style w:type="paragraph" w:customStyle="1" w:styleId="20">
    <w:name w:val="xl652775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sz w:val="20"/>
      <w:szCs w:val="20"/>
    </w:rPr>
  </w:style>
  <w:style w:type="paragraph" w:customStyle="1" w:styleId="21">
    <w:name w:val="xl662775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22">
    <w:name w:val="xl6727753"/>
    <w:basedOn w:val="1"/>
    <w:qFormat/>
    <w:uiPriority w:val="0"/>
    <w:pPr>
      <w:pBdr>
        <w:top w:val="single" w:color="auto" w:sz="4" w:space="1"/>
        <w:left w:val="single" w:color="auto" w:sz="4" w:space="1"/>
        <w:bottom w:val="single" w:color="auto" w:sz="4" w:space="0"/>
        <w:right w:val="single" w:color="auto" w:sz="4" w:space="1"/>
      </w:pBdr>
      <w:shd w:val="clear" w:color="000000" w:fill="FFFF00"/>
      <w:spacing w:before="100" w:beforeAutospacing="1" w:after="100" w:afterAutospacing="1"/>
      <w:textAlignment w:val="center"/>
    </w:pPr>
    <w:rPr>
      <w:rFonts w:ascii="仿宋_GB2312" w:eastAsia="仿宋_GB2312"/>
      <w:color w:val="FF0000"/>
      <w:sz w:val="20"/>
      <w:szCs w:val="20"/>
    </w:rPr>
  </w:style>
  <w:style w:type="paragraph" w:customStyle="1" w:styleId="23">
    <w:name w:val="xl682775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000000"/>
      <w:sz w:val="20"/>
      <w:szCs w:val="20"/>
    </w:rPr>
  </w:style>
  <w:style w:type="paragraph" w:customStyle="1" w:styleId="24">
    <w:name w:val="xl6927753"/>
    <w:basedOn w:val="1"/>
    <w:qFormat/>
    <w:uiPriority w:val="0"/>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25">
    <w:name w:val="xl7027753"/>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26">
    <w:name w:val="xl7127753"/>
    <w:basedOn w:val="1"/>
    <w:qFormat/>
    <w:uiPriority w:val="0"/>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27">
    <w:name w:val="xl722775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28">
    <w:name w:val="xl7327753"/>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29">
    <w:name w:val="xl7427753"/>
    <w:basedOn w:val="1"/>
    <w:qFormat/>
    <w:uiPriority w:val="0"/>
    <w:pPr>
      <w:spacing w:before="100" w:beforeAutospacing="1" w:after="100" w:afterAutospacing="1"/>
      <w:textAlignment w:val="center"/>
    </w:pPr>
    <w:rPr>
      <w:rFonts w:ascii="仿宋_GB2312" w:eastAsia="仿宋_GB2312"/>
      <w:sz w:val="20"/>
      <w:szCs w:val="20"/>
    </w:rPr>
  </w:style>
  <w:style w:type="paragraph" w:customStyle="1" w:styleId="30">
    <w:name w:val="xl7527753"/>
    <w:basedOn w:val="1"/>
    <w:qFormat/>
    <w:uiPriority w:val="0"/>
    <w:pPr>
      <w:spacing w:before="100" w:beforeAutospacing="1" w:after="100" w:afterAutospacing="1"/>
      <w:textAlignment w:val="center"/>
    </w:pPr>
    <w:rPr>
      <w:rFonts w:ascii="仿宋_GB2312" w:eastAsia="仿宋_GB2312"/>
      <w:sz w:val="20"/>
      <w:szCs w:val="20"/>
    </w:rPr>
  </w:style>
  <w:style w:type="paragraph" w:customStyle="1" w:styleId="31">
    <w:name w:val="xl762775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sz w:val="20"/>
      <w:szCs w:val="20"/>
    </w:rPr>
  </w:style>
  <w:style w:type="paragraph" w:customStyle="1" w:styleId="32">
    <w:name w:val="xl772775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333333"/>
      <w:sz w:val="20"/>
      <w:szCs w:val="20"/>
    </w:rPr>
  </w:style>
  <w:style w:type="paragraph" w:customStyle="1" w:styleId="33">
    <w:name w:val="xl7827753"/>
    <w:basedOn w:val="1"/>
    <w:qFormat/>
    <w:uiPriority w:val="0"/>
    <w:pPr>
      <w:spacing w:before="100" w:beforeAutospacing="1" w:after="100" w:afterAutospacing="1"/>
      <w:textAlignment w:val="center"/>
    </w:pPr>
    <w:rPr>
      <w:rFonts w:ascii="仿宋_GB2312" w:eastAsia="仿宋_GB2312"/>
      <w:color w:val="FF0000"/>
      <w:sz w:val="20"/>
      <w:szCs w:val="20"/>
    </w:rPr>
  </w:style>
  <w:style w:type="paragraph" w:customStyle="1" w:styleId="34">
    <w:name w:val="xl7927753"/>
    <w:basedOn w:val="1"/>
    <w:qFormat/>
    <w:uiPriority w:val="0"/>
    <w:pPr>
      <w:pBdr>
        <w:top w:val="single" w:color="auto" w:sz="4" w:space="1"/>
        <w:left w:val="single" w:color="auto" w:sz="4" w:space="1"/>
        <w:right w:val="single" w:color="auto" w:sz="4" w:space="1"/>
      </w:pBdr>
      <w:shd w:val="clear" w:color="000000" w:fill="FFFF00"/>
      <w:spacing w:before="100" w:beforeAutospacing="1" w:after="100" w:afterAutospacing="1"/>
      <w:textAlignment w:val="center"/>
    </w:pPr>
    <w:rPr>
      <w:rFonts w:ascii="仿宋_GB2312" w:eastAsia="仿宋_GB2312"/>
      <w:color w:val="FF0000"/>
      <w:sz w:val="20"/>
      <w:szCs w:val="20"/>
    </w:rPr>
  </w:style>
  <w:style w:type="paragraph" w:customStyle="1" w:styleId="35">
    <w:name w:val="xl8027753"/>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sz w:val="20"/>
      <w:szCs w:val="20"/>
    </w:rPr>
  </w:style>
  <w:style w:type="paragraph" w:customStyle="1" w:styleId="36">
    <w:name w:val="xl8127753"/>
    <w:basedOn w:val="1"/>
    <w:qFormat/>
    <w:uiPriority w:val="0"/>
    <w:pPr>
      <w:pBdr>
        <w:top w:val="single" w:color="auto" w:sz="4" w:space="1"/>
        <w:left w:val="single" w:color="auto" w:sz="4" w:space="1"/>
        <w:bottom w:val="single" w:color="auto" w:sz="4" w:space="0"/>
        <w:right w:val="single" w:color="auto" w:sz="4" w:space="1"/>
      </w:pBdr>
      <w:shd w:val="clear" w:color="000000" w:fill="FFFF00"/>
      <w:spacing w:before="100" w:beforeAutospacing="1" w:after="100" w:afterAutospacing="1"/>
      <w:textAlignment w:val="center"/>
    </w:pPr>
    <w:rPr>
      <w:rFonts w:ascii="仿宋_GB2312" w:eastAsia="仿宋_GB2312"/>
      <w:sz w:val="20"/>
      <w:szCs w:val="20"/>
    </w:rPr>
  </w:style>
  <w:style w:type="paragraph" w:customStyle="1" w:styleId="37">
    <w:name w:val="xl8227753"/>
    <w:basedOn w:val="1"/>
    <w:qFormat/>
    <w:uiPriority w:val="0"/>
    <w:pPr>
      <w:pBdr>
        <w:top w:val="single" w:color="auto" w:sz="4" w:space="1"/>
        <w:left w:val="single" w:color="auto" w:sz="4" w:space="1"/>
        <w:right w:val="single" w:color="auto" w:sz="4" w:space="1"/>
      </w:pBdr>
      <w:shd w:val="clear" w:color="000000" w:fill="FFFF00"/>
      <w:spacing w:before="100" w:beforeAutospacing="1" w:after="100" w:afterAutospacing="1"/>
      <w:textAlignment w:val="center"/>
    </w:pPr>
    <w:rPr>
      <w:rFonts w:ascii="仿宋_GB2312" w:eastAsia="仿宋_GB2312"/>
      <w:sz w:val="20"/>
      <w:szCs w:val="20"/>
    </w:rPr>
  </w:style>
  <w:style w:type="paragraph" w:customStyle="1" w:styleId="38">
    <w:name w:val="xl8327753"/>
    <w:basedOn w:val="1"/>
    <w:qFormat/>
    <w:uiPriority w:val="0"/>
    <w:pPr>
      <w:pBdr>
        <w:top w:val="single" w:color="auto" w:sz="4" w:space="1"/>
        <w:left w:val="single" w:color="auto" w:sz="4" w:space="1"/>
        <w:bottom w:val="single" w:color="auto" w:sz="4" w:space="0"/>
        <w:right w:val="single" w:color="auto" w:sz="4" w:space="1"/>
      </w:pBdr>
      <w:shd w:val="clear" w:color="000000" w:fill="FFFF00"/>
      <w:spacing w:before="100" w:beforeAutospacing="1" w:after="100" w:afterAutospacing="1"/>
      <w:textAlignment w:val="center"/>
    </w:pPr>
    <w:rPr>
      <w:rFonts w:ascii="仿宋_GB2312" w:eastAsia="仿宋_GB2312"/>
      <w:sz w:val="20"/>
      <w:szCs w:val="20"/>
    </w:rPr>
  </w:style>
  <w:style w:type="paragraph" w:customStyle="1" w:styleId="39">
    <w:name w:val="xl8427753"/>
    <w:basedOn w:val="1"/>
    <w:qFormat/>
    <w:uiPriority w:val="0"/>
    <w:pPr>
      <w:pBdr>
        <w:top w:val="single" w:color="auto" w:sz="4" w:space="1"/>
        <w:left w:val="single" w:color="auto" w:sz="4" w:space="1"/>
        <w:right w:val="single" w:color="auto" w:sz="4" w:space="1"/>
      </w:pBdr>
      <w:shd w:val="clear" w:color="000000" w:fill="FFFF00"/>
      <w:spacing w:before="100" w:beforeAutospacing="1" w:after="100" w:afterAutospacing="1"/>
      <w:textAlignment w:val="center"/>
    </w:pPr>
    <w:rPr>
      <w:rFonts w:ascii="仿宋_GB2312" w:eastAsia="仿宋_GB2312"/>
      <w:sz w:val="20"/>
      <w:szCs w:val="20"/>
    </w:rPr>
  </w:style>
  <w:style w:type="paragraph" w:customStyle="1" w:styleId="40">
    <w:name w:val="xl8527753"/>
    <w:basedOn w:val="1"/>
    <w:qFormat/>
    <w:uiPriority w:val="0"/>
    <w:pPr>
      <w:pBdr>
        <w:left w:val="single" w:color="auto" w:sz="4" w:space="1"/>
        <w:bottom w:val="single" w:color="auto" w:sz="4" w:space="0"/>
        <w:right w:val="single" w:color="auto" w:sz="4" w:space="1"/>
      </w:pBdr>
      <w:shd w:val="clear" w:color="000000" w:fill="FFFF00"/>
      <w:spacing w:before="100" w:beforeAutospacing="1" w:after="100" w:afterAutospacing="1"/>
      <w:textAlignment w:val="center"/>
    </w:pPr>
    <w:rPr>
      <w:rFonts w:ascii="仿宋_GB2312" w:eastAsia="仿宋_GB2312"/>
      <w:sz w:val="20"/>
      <w:szCs w:val="20"/>
    </w:rPr>
  </w:style>
  <w:style w:type="paragraph" w:customStyle="1" w:styleId="41">
    <w:name w:val="xl8627753"/>
    <w:basedOn w:val="1"/>
    <w:qFormat/>
    <w:uiPriority w:val="0"/>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sz w:val="20"/>
      <w:szCs w:val="20"/>
    </w:rPr>
  </w:style>
  <w:style w:type="paragraph" w:customStyle="1" w:styleId="42">
    <w:name w:val="xl8727753"/>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sz w:val="20"/>
      <w:szCs w:val="20"/>
    </w:rPr>
  </w:style>
  <w:style w:type="paragraph" w:customStyle="1" w:styleId="43">
    <w:name w:val="xl8827753"/>
    <w:basedOn w:val="1"/>
    <w:qFormat/>
    <w:uiPriority w:val="0"/>
    <w:pPr>
      <w:pBdr>
        <w:top w:val="single" w:color="auto" w:sz="4" w:space="1"/>
        <w:left w:val="single" w:color="auto" w:sz="4" w:space="1"/>
        <w:right w:val="single" w:color="auto" w:sz="4" w:space="1"/>
      </w:pBdr>
      <w:shd w:val="clear" w:color="000000" w:fill="FFFF00"/>
      <w:spacing w:before="100" w:beforeAutospacing="1" w:after="100" w:afterAutospacing="1"/>
      <w:textAlignment w:val="center"/>
    </w:pPr>
    <w:rPr>
      <w:rFonts w:ascii="仿宋_GB2312" w:eastAsia="仿宋_GB2312"/>
      <w:color w:val="FF0000"/>
      <w:sz w:val="20"/>
      <w:szCs w:val="20"/>
    </w:rPr>
  </w:style>
  <w:style w:type="paragraph" w:customStyle="1" w:styleId="44">
    <w:name w:val="xl8927753"/>
    <w:basedOn w:val="1"/>
    <w:qFormat/>
    <w:uiPriority w:val="0"/>
    <w:pPr>
      <w:pBdr>
        <w:left w:val="single" w:color="auto" w:sz="4" w:space="1"/>
        <w:bottom w:val="single" w:color="auto" w:sz="4" w:space="0"/>
        <w:right w:val="single" w:color="auto" w:sz="4" w:space="1"/>
      </w:pBdr>
      <w:shd w:val="clear" w:color="000000" w:fill="FFFF00"/>
      <w:spacing w:before="100" w:beforeAutospacing="1" w:after="100" w:afterAutospacing="1"/>
      <w:textAlignment w:val="center"/>
    </w:pPr>
    <w:rPr>
      <w:rFonts w:ascii="仿宋_GB2312" w:eastAsia="仿宋_GB2312"/>
      <w:color w:val="FF0000"/>
      <w:sz w:val="20"/>
      <w:szCs w:val="20"/>
    </w:rPr>
  </w:style>
  <w:style w:type="paragraph" w:customStyle="1" w:styleId="45">
    <w:name w:val="xl9027753"/>
    <w:basedOn w:val="1"/>
    <w:qFormat/>
    <w:uiPriority w:val="0"/>
    <w:pPr>
      <w:pBdr>
        <w:top w:val="single" w:color="auto" w:sz="4" w:space="1"/>
        <w:left w:val="single" w:color="auto" w:sz="4" w:space="1"/>
        <w:right w:val="single" w:color="auto" w:sz="4" w:space="1"/>
      </w:pBdr>
      <w:shd w:val="clear" w:color="000000" w:fill="FFFF00"/>
      <w:spacing w:before="100" w:beforeAutospacing="1" w:after="100" w:afterAutospacing="1"/>
      <w:jc w:val="center"/>
      <w:textAlignment w:val="center"/>
    </w:pPr>
    <w:rPr>
      <w:rFonts w:ascii="仿宋_GB2312" w:eastAsia="仿宋_GB2312"/>
      <w:sz w:val="20"/>
      <w:szCs w:val="20"/>
    </w:rPr>
  </w:style>
  <w:style w:type="paragraph" w:customStyle="1" w:styleId="46">
    <w:name w:val="xl9127753"/>
    <w:basedOn w:val="1"/>
    <w:qFormat/>
    <w:uiPriority w:val="0"/>
    <w:pPr>
      <w:pBdr>
        <w:left w:val="single" w:color="auto" w:sz="4" w:space="1"/>
        <w:right w:val="single" w:color="auto" w:sz="4" w:space="1"/>
      </w:pBdr>
      <w:shd w:val="clear" w:color="000000" w:fill="FFFF00"/>
      <w:spacing w:before="100" w:beforeAutospacing="1" w:after="100" w:afterAutospacing="1"/>
      <w:jc w:val="center"/>
      <w:textAlignment w:val="center"/>
    </w:pPr>
    <w:rPr>
      <w:rFonts w:ascii="仿宋_GB2312" w:eastAsia="仿宋_GB2312"/>
      <w:sz w:val="20"/>
      <w:szCs w:val="20"/>
    </w:rPr>
  </w:style>
  <w:style w:type="paragraph" w:customStyle="1" w:styleId="47">
    <w:name w:val="xl9227753"/>
    <w:basedOn w:val="1"/>
    <w:qFormat/>
    <w:uiPriority w:val="0"/>
    <w:pPr>
      <w:pBdr>
        <w:left w:val="single" w:color="auto" w:sz="4" w:space="1"/>
        <w:bottom w:val="single" w:color="auto" w:sz="4" w:space="0"/>
        <w:right w:val="single" w:color="auto" w:sz="4" w:space="1"/>
      </w:pBdr>
      <w:shd w:val="clear" w:color="000000" w:fill="FFFF00"/>
      <w:spacing w:before="100" w:beforeAutospacing="1" w:after="100" w:afterAutospacing="1"/>
      <w:jc w:val="center"/>
      <w:textAlignment w:val="center"/>
    </w:pPr>
    <w:rPr>
      <w:rFonts w:ascii="仿宋_GB2312" w:eastAsia="仿宋_GB2312"/>
      <w:sz w:val="20"/>
      <w:szCs w:val="20"/>
    </w:rPr>
  </w:style>
  <w:style w:type="paragraph" w:customStyle="1" w:styleId="48">
    <w:name w:val="xl9327753"/>
    <w:basedOn w:val="1"/>
    <w:qFormat/>
    <w:uiPriority w:val="0"/>
    <w:pPr>
      <w:pBdr>
        <w:left w:val="single" w:color="auto" w:sz="4" w:space="1"/>
        <w:right w:val="single" w:color="auto" w:sz="4" w:space="1"/>
      </w:pBdr>
      <w:spacing w:before="100" w:beforeAutospacing="1" w:after="100" w:afterAutospacing="1"/>
      <w:textAlignment w:val="center"/>
    </w:pPr>
    <w:rPr>
      <w:rFonts w:ascii="仿宋_GB2312" w:eastAsia="仿宋_GB2312"/>
      <w:sz w:val="20"/>
      <w:szCs w:val="20"/>
    </w:rPr>
  </w:style>
  <w:style w:type="paragraph" w:customStyle="1" w:styleId="49">
    <w:name w:val="xl9427753"/>
    <w:basedOn w:val="1"/>
    <w:qFormat/>
    <w:uiPriority w:val="0"/>
    <w:pPr>
      <w:pBdr>
        <w:left w:val="single" w:color="auto" w:sz="4" w:space="1"/>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50">
    <w:name w:val="xl9527753"/>
    <w:basedOn w:val="1"/>
    <w:qFormat/>
    <w:uiPriority w:val="0"/>
    <w:pPr>
      <w:pBdr>
        <w:left w:val="single" w:color="auto" w:sz="4" w:space="1"/>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51">
    <w:name w:val="xl9627753"/>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style>
  <w:style w:type="paragraph" w:customStyle="1" w:styleId="52">
    <w:name w:val="xl9727753"/>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rPr>
      <w:color w:val="FF0000"/>
    </w:rPr>
  </w:style>
  <w:style w:type="paragraph" w:customStyle="1" w:styleId="53">
    <w:name w:val="xl9827753"/>
    <w:basedOn w:val="1"/>
    <w:qFormat/>
    <w:uiPriority w:val="0"/>
    <w:pPr>
      <w:pBdr>
        <w:left w:val="single" w:color="auto" w:sz="4" w:space="1"/>
        <w:right w:val="single" w:color="auto" w:sz="4" w:space="1"/>
      </w:pBdr>
      <w:spacing w:before="100" w:beforeAutospacing="1" w:after="100" w:afterAutospacing="1"/>
      <w:textAlignment w:val="center"/>
    </w:pPr>
    <w:rPr>
      <w:color w:val="FF0000"/>
    </w:rPr>
  </w:style>
  <w:style w:type="paragraph" w:customStyle="1" w:styleId="54">
    <w:name w:val="xl9927753"/>
    <w:basedOn w:val="1"/>
    <w:qFormat/>
    <w:uiPriority w:val="0"/>
    <w:pPr>
      <w:pBdr>
        <w:left w:val="single" w:color="auto" w:sz="4" w:space="1"/>
        <w:right w:val="single" w:color="auto" w:sz="4" w:space="1"/>
      </w:pBdr>
      <w:spacing w:before="100" w:beforeAutospacing="1" w:after="100" w:afterAutospacing="1"/>
      <w:textAlignment w:val="center"/>
    </w:pPr>
  </w:style>
  <w:style w:type="paragraph" w:customStyle="1" w:styleId="55">
    <w:name w:val="xl10027753"/>
    <w:basedOn w:val="1"/>
    <w:qFormat/>
    <w:uiPriority w:val="0"/>
    <w:pPr>
      <w:pBdr>
        <w:left w:val="single" w:color="auto" w:sz="4" w:space="1"/>
        <w:right w:val="single" w:color="auto" w:sz="4" w:space="1"/>
      </w:pBdr>
      <w:shd w:val="clear" w:color="000000" w:fill="FFFF00"/>
      <w:spacing w:before="100" w:beforeAutospacing="1" w:after="100" w:afterAutospacing="1"/>
      <w:textAlignment w:val="center"/>
    </w:pPr>
    <w:rPr>
      <w:rFonts w:ascii="仿宋_GB2312" w:eastAsia="仿宋_GB2312"/>
      <w:color w:val="FF0000"/>
      <w:sz w:val="20"/>
      <w:szCs w:val="20"/>
    </w:rPr>
  </w:style>
  <w:style w:type="paragraph" w:customStyle="1" w:styleId="56">
    <w:name w:val="xl10127753"/>
    <w:basedOn w:val="1"/>
    <w:qFormat/>
    <w:uiPriority w:val="0"/>
    <w:pPr>
      <w:pBdr>
        <w:top w:val="single" w:color="auto" w:sz="4" w:space="1"/>
        <w:left w:val="single" w:color="auto" w:sz="4" w:space="1"/>
        <w:bottom w:val="single" w:color="auto" w:sz="4" w:space="0"/>
        <w:right w:val="single" w:color="auto" w:sz="4" w:space="1"/>
      </w:pBdr>
      <w:shd w:val="clear" w:color="000000" w:fill="FFFF00"/>
      <w:spacing w:before="100" w:beforeAutospacing="1" w:after="100" w:afterAutospacing="1"/>
      <w:textAlignment w:val="center"/>
    </w:pPr>
    <w:rPr>
      <w:rFonts w:ascii="仿宋_GB2312" w:eastAsia="仿宋_GB2312"/>
      <w:color w:val="FF0000"/>
      <w:sz w:val="20"/>
      <w:szCs w:val="20"/>
    </w:rPr>
  </w:style>
  <w:style w:type="paragraph" w:customStyle="1" w:styleId="57">
    <w:name w:val="xl10227753"/>
    <w:basedOn w:val="1"/>
    <w:qFormat/>
    <w:uiPriority w:val="0"/>
    <w:pPr>
      <w:pBdr>
        <w:top w:val="single" w:color="auto" w:sz="4" w:space="1"/>
        <w:left w:val="single" w:color="auto" w:sz="4" w:space="1"/>
        <w:right w:val="single" w:color="auto" w:sz="4" w:space="1"/>
      </w:pBdr>
      <w:spacing w:before="100" w:beforeAutospacing="1" w:after="100" w:afterAutospacing="1"/>
      <w:jc w:val="center"/>
      <w:textAlignment w:val="center"/>
    </w:pPr>
    <w:rPr>
      <w:rFonts w:ascii="仿宋_GB2312" w:eastAsia="仿宋_GB2312"/>
      <w:sz w:val="20"/>
      <w:szCs w:val="20"/>
    </w:rPr>
  </w:style>
  <w:style w:type="paragraph" w:customStyle="1" w:styleId="58">
    <w:name w:val="xl10327753"/>
    <w:basedOn w:val="1"/>
    <w:qFormat/>
    <w:uiPriority w:val="0"/>
    <w:pPr>
      <w:pBdr>
        <w:left w:val="single" w:color="auto" w:sz="4" w:space="1"/>
        <w:bottom w:val="single" w:color="auto" w:sz="4" w:space="0"/>
        <w:right w:val="single" w:color="auto" w:sz="4" w:space="1"/>
      </w:pBdr>
      <w:spacing w:before="100" w:beforeAutospacing="1" w:after="100" w:afterAutospacing="1"/>
      <w:jc w:val="center"/>
      <w:textAlignment w:val="center"/>
    </w:pPr>
    <w:rPr>
      <w:rFonts w:ascii="仿宋_GB2312" w:eastAsia="仿宋_GB2312"/>
      <w:sz w:val="20"/>
      <w:szCs w:val="20"/>
    </w:rPr>
  </w:style>
  <w:style w:type="paragraph" w:customStyle="1" w:styleId="59">
    <w:name w:val="xl10427753"/>
    <w:basedOn w:val="1"/>
    <w:qFormat/>
    <w:uiPriority w:val="0"/>
    <w:pPr>
      <w:pBdr>
        <w:left w:val="single" w:color="auto" w:sz="4" w:space="1"/>
        <w:right w:val="single" w:color="auto" w:sz="4" w:space="1"/>
      </w:pBdr>
      <w:spacing w:before="100" w:beforeAutospacing="1" w:after="100" w:afterAutospacing="1"/>
      <w:jc w:val="center"/>
      <w:textAlignment w:val="center"/>
    </w:pPr>
    <w:rPr>
      <w:rFonts w:ascii="仿宋_GB2312" w:eastAsia="仿宋_GB2312"/>
      <w:sz w:val="20"/>
      <w:szCs w:val="20"/>
    </w:rPr>
  </w:style>
  <w:style w:type="paragraph" w:customStyle="1" w:styleId="60">
    <w:name w:val="xl10527753"/>
    <w:basedOn w:val="1"/>
    <w:qFormat/>
    <w:uiPriority w:val="0"/>
    <w:pPr>
      <w:pBdr>
        <w:top w:val="single" w:color="auto" w:sz="4" w:space="1"/>
        <w:left w:val="single" w:color="auto" w:sz="4" w:space="1"/>
        <w:right w:val="single" w:color="auto" w:sz="4" w:space="1"/>
      </w:pBdr>
      <w:spacing w:before="100" w:beforeAutospacing="1" w:after="100" w:afterAutospacing="1"/>
      <w:jc w:val="center"/>
      <w:textAlignment w:val="center"/>
    </w:pPr>
    <w:rPr>
      <w:rFonts w:ascii="仿宋_GB2312" w:eastAsia="仿宋_GB2312"/>
      <w:color w:val="FF0000"/>
      <w:sz w:val="20"/>
      <w:szCs w:val="20"/>
    </w:rPr>
  </w:style>
  <w:style w:type="paragraph" w:customStyle="1" w:styleId="61">
    <w:name w:val="xl10627753"/>
    <w:basedOn w:val="1"/>
    <w:qFormat/>
    <w:uiPriority w:val="0"/>
    <w:pPr>
      <w:pBdr>
        <w:left w:val="single" w:color="auto" w:sz="4" w:space="1"/>
        <w:bottom w:val="single" w:color="auto" w:sz="4" w:space="0"/>
        <w:right w:val="single" w:color="auto" w:sz="4" w:space="1"/>
      </w:pBdr>
      <w:spacing w:before="100" w:beforeAutospacing="1" w:after="100" w:afterAutospacing="1"/>
      <w:jc w:val="center"/>
      <w:textAlignment w:val="center"/>
    </w:pPr>
    <w:rPr>
      <w:rFonts w:ascii="仿宋_GB2312" w:eastAsia="仿宋_GB2312"/>
      <w:color w:val="FF0000"/>
      <w:sz w:val="20"/>
      <w:szCs w:val="20"/>
    </w:rPr>
  </w:style>
  <w:style w:type="paragraph" w:customStyle="1" w:styleId="62">
    <w:name w:val="xl10727753"/>
    <w:basedOn w:val="1"/>
    <w:qFormat/>
    <w:uiPriority w:val="0"/>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sz w:val="20"/>
      <w:szCs w:val="20"/>
    </w:rPr>
  </w:style>
  <w:style w:type="paragraph" w:customStyle="1" w:styleId="63">
    <w:name w:val="xl10827753"/>
    <w:basedOn w:val="1"/>
    <w:qFormat/>
    <w:uiPriority w:val="0"/>
    <w:pPr>
      <w:pBdr>
        <w:left w:val="single" w:color="auto" w:sz="4" w:space="1"/>
        <w:right w:val="single" w:color="auto" w:sz="4" w:space="1"/>
      </w:pBdr>
      <w:spacing w:before="100" w:beforeAutospacing="1" w:after="100" w:afterAutospacing="1"/>
      <w:textAlignment w:val="center"/>
    </w:pPr>
    <w:rPr>
      <w:rFonts w:ascii="仿宋_GB2312" w:eastAsia="仿宋_GB2312"/>
      <w:sz w:val="20"/>
      <w:szCs w:val="20"/>
    </w:rPr>
  </w:style>
  <w:style w:type="character" w:customStyle="1" w:styleId="64">
    <w:name w:val="headerchar"/>
    <w:basedOn w:val="8"/>
    <w:uiPriority w:val="0"/>
    <w:rPr>
      <w:rFonts w:hint="default" w:ascii="Times New Roman" w:hAnsi="Times New Roman" w:cs="Times New Roman"/>
    </w:rPr>
  </w:style>
  <w:style w:type="character" w:customStyle="1" w:styleId="65">
    <w:name w:val="footerchar"/>
    <w:basedOn w:val="8"/>
    <w:qFormat/>
    <w:uiPriority w:val="0"/>
    <w:rPr>
      <w:rFonts w:hint="default" w:ascii="Times New Roman" w:hAnsi="Times New Roman" w:cs="Times New Roman"/>
    </w:rPr>
  </w:style>
  <w:style w:type="character" w:customStyle="1" w:styleId="66">
    <w:name w:val="font11"/>
    <w:basedOn w:val="8"/>
    <w:qFormat/>
    <w:uiPriority w:val="0"/>
    <w:rPr>
      <w:rFonts w:hint="default" w:ascii="仿宋_GB2312" w:eastAsia="仿宋_GB2312" w:cs="仿宋_GB2312"/>
      <w:color w:val="FF0000"/>
      <w:sz w:val="20"/>
      <w:szCs w:val="20"/>
      <w:u w:val="none"/>
    </w:rPr>
  </w:style>
  <w:style w:type="character" w:customStyle="1" w:styleId="67">
    <w:name w:val="font21"/>
    <w:basedOn w:val="8"/>
    <w:qFormat/>
    <w:uiPriority w:val="0"/>
    <w:rPr>
      <w:rFonts w:hint="default" w:ascii="仿宋_GB2312" w:eastAsia="仿宋_GB2312" w:cs="仿宋_GB2312"/>
      <w:color w:val="000000"/>
      <w:sz w:val="20"/>
      <w:szCs w:val="20"/>
      <w:u w:val="none"/>
    </w:rPr>
  </w:style>
  <w:style w:type="character" w:customStyle="1" w:styleId="68">
    <w:name w:val="页眉 Char"/>
    <w:basedOn w:val="8"/>
    <w:link w:val="6"/>
    <w:qFormat/>
    <w:uiPriority w:val="99"/>
    <w:rPr>
      <w:rFonts w:ascii="宋体" w:hAnsi="宋体" w:cs="宋体"/>
      <w:sz w:val="18"/>
      <w:szCs w:val="18"/>
    </w:rPr>
  </w:style>
  <w:style w:type="character" w:customStyle="1" w:styleId="69">
    <w:name w:val="页脚 Char"/>
    <w:basedOn w:val="8"/>
    <w:link w:val="5"/>
    <w:uiPriority w:val="99"/>
    <w:rPr>
      <w:rFonts w:ascii="宋体" w:hAnsi="宋体" w:cs="宋体"/>
      <w:sz w:val="18"/>
      <w:szCs w:val="18"/>
    </w:rPr>
  </w:style>
  <w:style w:type="character" w:customStyle="1" w:styleId="70">
    <w:name w:val="批注文字 Char"/>
    <w:basedOn w:val="8"/>
    <w:link w:val="3"/>
    <w:qFormat/>
    <w:uiPriority w:val="99"/>
    <w:rPr>
      <w:rFonts w:ascii="宋体" w:hAnsi="宋体" w:cs="宋体"/>
      <w:sz w:val="24"/>
      <w:szCs w:val="24"/>
    </w:rPr>
  </w:style>
  <w:style w:type="character" w:customStyle="1" w:styleId="71">
    <w:name w:val="批注主题 Char"/>
    <w:basedOn w:val="70"/>
    <w:link w:val="2"/>
    <w:semiHidden/>
    <w:qFormat/>
    <w:uiPriority w:val="99"/>
    <w:rPr>
      <w:rFonts w:ascii="宋体" w:hAnsi="宋体" w:cs="宋体"/>
      <w:b/>
      <w:bCs/>
      <w:sz w:val="24"/>
      <w:szCs w:val="24"/>
    </w:rPr>
  </w:style>
  <w:style w:type="character" w:customStyle="1" w:styleId="72">
    <w:name w:val="批注框文本 Char"/>
    <w:basedOn w:val="8"/>
    <w:link w:val="4"/>
    <w:semiHidden/>
    <w:qFormat/>
    <w:uiPriority w:val="99"/>
    <w:rPr>
      <w:rFonts w:ascii="宋体" w:hAnsi="宋体" w:cs="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720</Words>
  <Characters>4107</Characters>
  <Lines>34</Lines>
  <Paragraphs>9</Paragraphs>
  <TotalTime>415</TotalTime>
  <ScaleCrop>false</ScaleCrop>
  <LinksUpToDate>false</LinksUpToDate>
  <CharactersWithSpaces>4818</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2019-07-08T14:04:00Z</dcterms:created>
  <dc:creator>未定义</dc:creator>
  <cp:lastModifiedBy>未定义</cp:lastModifiedBy>
  <cp:lastPrinted>2020-12-09T07:25:00Z</cp:lastPrinted>
  <dcterms:modified xsi:type="dcterms:W3CDTF">2022-04-23T14:25:25Z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