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color w:val="000000" w:themeColor="text1"/>
          <w:sz w:val="21"/>
          <w:szCs w:val="21"/>
          <w14:textFill>
            <w14:solidFill>
              <w14:schemeClr w14:val="tx1"/>
            </w14:solidFill>
          </w14:textFill>
        </w:rPr>
      </w:pPr>
      <w:bookmarkStart w:id="0" w:name="_GoBack"/>
      <w:bookmarkEnd w:id="0"/>
      <w:r>
        <w:rPr>
          <w:rFonts w:hint="eastAsia" w:asciiTheme="majorEastAsia" w:hAnsiTheme="majorEastAsia" w:eastAsiaTheme="majorEastAsia"/>
          <w:b/>
          <w:bCs/>
          <w:color w:val="000000" w:themeColor="text1"/>
          <w:sz w:val="44"/>
          <w:szCs w:val="44"/>
          <w:lang w:eastAsia="zh-CN"/>
          <w14:textFill>
            <w14:solidFill>
              <w14:schemeClr w14:val="tx1"/>
            </w14:solidFill>
          </w14:textFill>
        </w:rPr>
        <w:t>揭阳</w:t>
      </w:r>
      <w:r>
        <w:rPr>
          <w:rFonts w:hint="eastAsia" w:asciiTheme="majorEastAsia" w:hAnsiTheme="majorEastAsia" w:eastAsiaTheme="majorEastAsia"/>
          <w:b/>
          <w:bCs/>
          <w:color w:val="000000" w:themeColor="text1"/>
          <w:sz w:val="44"/>
          <w:szCs w:val="44"/>
          <w14:textFill>
            <w14:solidFill>
              <w14:schemeClr w14:val="tx1"/>
            </w14:solidFill>
          </w14:textFill>
        </w:rPr>
        <w:t>市社会艺术水平考级行政处罚自由裁量权实施标准</w:t>
      </w:r>
    </w:p>
    <w:tbl>
      <w:tblPr>
        <w:tblStyle w:val="5"/>
        <w:tblW w:w="13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
      <w:tblGrid>
        <w:gridCol w:w="268"/>
        <w:gridCol w:w="2406"/>
        <w:gridCol w:w="4809"/>
        <w:gridCol w:w="892"/>
        <w:gridCol w:w="1514"/>
        <w:gridCol w:w="3475"/>
        <w:gridCol w:w="6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480" w:hRule="atLeast"/>
          <w:tblHeader/>
          <w:jc w:val="center"/>
        </w:trPr>
        <w:tc>
          <w:tcPr>
            <w:tcW w:w="268" w:type="dxa"/>
            <w:shd w:val="clear" w:color="auto" w:fill="auto"/>
            <w:vAlign w:val="center"/>
          </w:tcPr>
          <w:p>
            <w:pPr>
              <w:jc w:val="cente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序号</w:t>
            </w:r>
          </w:p>
        </w:tc>
        <w:tc>
          <w:tcPr>
            <w:tcW w:w="2406" w:type="dxa"/>
            <w:shd w:val="clear" w:color="auto" w:fill="auto"/>
            <w:vAlign w:val="center"/>
          </w:tcPr>
          <w:p>
            <w:pPr>
              <w:jc w:val="cente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违法行为</w:t>
            </w:r>
          </w:p>
        </w:tc>
        <w:tc>
          <w:tcPr>
            <w:tcW w:w="4809" w:type="dxa"/>
            <w:shd w:val="clear" w:color="auto" w:fill="auto"/>
            <w:vAlign w:val="center"/>
          </w:tcPr>
          <w:p>
            <w:pPr>
              <w:jc w:val="cente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法律依据</w:t>
            </w:r>
          </w:p>
        </w:tc>
        <w:tc>
          <w:tcPr>
            <w:tcW w:w="892" w:type="dxa"/>
            <w:shd w:val="clear" w:color="auto" w:fill="auto"/>
            <w:vAlign w:val="center"/>
          </w:tcPr>
          <w:p>
            <w:pPr>
              <w:jc w:val="cente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违反条款</w:t>
            </w:r>
          </w:p>
        </w:tc>
        <w:tc>
          <w:tcPr>
            <w:tcW w:w="1514" w:type="dxa"/>
            <w:shd w:val="clear" w:color="auto" w:fill="auto"/>
            <w:vAlign w:val="center"/>
          </w:tcPr>
          <w:p>
            <w:pPr>
              <w:jc w:val="cente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罚则</w:t>
            </w:r>
          </w:p>
        </w:tc>
        <w:tc>
          <w:tcPr>
            <w:tcW w:w="3475" w:type="dxa"/>
            <w:shd w:val="clear" w:color="auto" w:fill="auto"/>
            <w:vAlign w:val="center"/>
          </w:tcPr>
          <w:p>
            <w:pPr>
              <w:jc w:val="cente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裁量标准</w:t>
            </w:r>
          </w:p>
        </w:tc>
        <w:tc>
          <w:tcPr>
            <w:tcW w:w="624" w:type="dxa"/>
            <w:shd w:val="clear" w:color="auto" w:fill="auto"/>
            <w:vAlign w:val="center"/>
          </w:tcPr>
          <w:p>
            <w:pPr>
              <w:jc w:val="cente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260"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未经批准擅自开办艺术考级活动</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《社会艺术水平考级管理办法》第二十四条：未经批准擅自开办艺术考级活动的，由县级以上文化行政部门或者文化市场综合执法机构责令停止违法活动，并处10000元以上30000元以下罚款。</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第九条</w:t>
            </w:r>
          </w:p>
        </w:tc>
        <w:tc>
          <w:tcPr>
            <w:tcW w:w="1514"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第二十四条</w:t>
            </w:r>
          </w:p>
        </w:tc>
        <w:tc>
          <w:tcPr>
            <w:tcW w:w="3475"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1、2年内第1次查处的，罚款1万元；</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2、2年内第2次查处的，罚款2万；</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3、2年内3次以上查处的，或在社会上造成恶劣影响的，或有其他严重情节的，罚款3万元。</w:t>
            </w:r>
          </w:p>
        </w:tc>
        <w:tc>
          <w:tcPr>
            <w:tcW w:w="62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303"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组织艺术考级活动前未向社会发布考级简章或考级简章内容不符合规定</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五条：艺术考级机构有下列行为之一的，由县级以上文化行政部门或者文化市场综合执法机构予以警告，责令改正并处10000元以下罚款：（一）组织艺术考级活动前未向社会发布考级简章或考级简章内容不符合规定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第十五条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第二十五条第（一）项</w:t>
            </w:r>
          </w:p>
        </w:tc>
        <w:tc>
          <w:tcPr>
            <w:tcW w:w="3475" w:type="dxa"/>
            <w:vMerge w:val="restart"/>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1、2年内第1次查处的，警告，罚款2000元；</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2、2年内第2次查处的，警告，罚款5000元；</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3、2年内3次以上查处的，或在社会上造成恶劣影响的，或有其他严重情节的，警告，罚款1万元。</w:t>
            </w: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981"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未按规定将承办单位的基本情况和合作协议备案</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五条：艺术考级机构有下列行为之一的，由县级以上文化行政部门或者文化市场综合执法机构予以警告，责令改正并处10000元以下罚款：（二）未按规定将承办单位的基本情况和合作协议备案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第十七条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第二十五条第（二）项</w:t>
            </w:r>
          </w:p>
        </w:tc>
        <w:tc>
          <w:tcPr>
            <w:tcW w:w="3475"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407"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组织艺术考级活动未按规定将考级简章、考级时间、考级地点、考生数量、考场安排、考官名单等情况备案</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五条：艺术考级机构有下列行为之一的，由县级以上文化行政部门或者文化市场综合执法机构予以警告，责令改正并处10000元以下罚款：（三）组织艺术考级活动未按规定将考级简章、考级时间、考级地点、考生数量、考场安排、考官名单等情况备案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第十八条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第二十五条第（三）项</w:t>
            </w:r>
          </w:p>
        </w:tc>
        <w:tc>
          <w:tcPr>
            <w:tcW w:w="3475"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987"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艺术考级活动结束后未按规定报送考级结果</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五条：艺术考级机构有下列行为之一的，由县级以上文化行政部门或者文化市场综合执法机构予以警告，责令改正并处10000元以下罚款：（四）艺术考级活动结束后未按规定报送考级结果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第二十三条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第二十五条第（四）项</w:t>
            </w:r>
          </w:p>
        </w:tc>
        <w:tc>
          <w:tcPr>
            <w:tcW w:w="3475" w:type="dxa"/>
            <w:vMerge w:val="restart"/>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1、2年内第1次查处的，警告，罚款2000元；</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2、2年内第2次查处的，警告，罚款5000元；</w:t>
            </w:r>
          </w:p>
          <w:p>
            <w:pPr>
              <w:rPr>
                <w:rFonts w:ascii="仿宋_GB2312"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3、2年内3次以上查处的，或在社会上造成恶劣影响的，或有其他严重情节的，警告，罚款1万元。</w:t>
            </w: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271"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6</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艺术考级机构主要负责人、办公地点有变动未按规定向审批机关备案</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五条：艺术考级机构有下列行为之一的，由县级以上文化行政部门或者文化市场综合执法机构予以警告，责令改正并处10000元以下罚款：（五）艺术考级机构主要负责人、办公地点有变动未按规定向审批机关备案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第十一条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第二十五条第（五）项</w:t>
            </w:r>
          </w:p>
        </w:tc>
        <w:tc>
          <w:tcPr>
            <w:tcW w:w="3475"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246"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7</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委托的承办单位不符合规定</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 （一）委托的承办单位不符合规定的；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第十六条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第二十六条第（一）项</w:t>
            </w:r>
          </w:p>
        </w:tc>
        <w:tc>
          <w:tcPr>
            <w:tcW w:w="3475" w:type="dxa"/>
            <w:vMerge w:val="restart"/>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1、2年内第1次查处的，警告，罚款1万元；</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2、2年内第2次查处的，警告，罚款2万元；</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3、2年内3次以上查处的，或在社会上造成恶劣影响的，或有其他严重情节的，警告，罚款3元。</w:t>
            </w: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264"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8</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未按照规定组建常设工作机构并配备专职工作人员</w:t>
            </w:r>
          </w:p>
        </w:tc>
        <w:tc>
          <w:tcPr>
            <w:tcW w:w="4809" w:type="dxa"/>
            <w:shd w:val="clear" w:color="auto" w:fill="auto"/>
            <w:vAlign w:val="center"/>
          </w:tcPr>
          <w:p>
            <w:pPr>
              <w:spacing w:line="240" w:lineRule="exact"/>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二）未按照规定组建常设工作机构并配备专职工作人员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第十四条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第二十六条第（二）项</w:t>
            </w:r>
          </w:p>
        </w:tc>
        <w:tc>
          <w:tcPr>
            <w:tcW w:w="3475"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255"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9</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未按照本机构教材确定艺术考级内容</w:t>
            </w:r>
          </w:p>
        </w:tc>
        <w:tc>
          <w:tcPr>
            <w:tcW w:w="4809" w:type="dxa"/>
            <w:shd w:val="clear" w:color="auto" w:fill="auto"/>
            <w:vAlign w:val="center"/>
          </w:tcPr>
          <w:p>
            <w:pPr>
              <w:spacing w:line="240" w:lineRule="exact"/>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三）未按照本机构教材确定艺术考级内容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第十九条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第二十六条第（三）项</w:t>
            </w:r>
          </w:p>
        </w:tc>
        <w:tc>
          <w:tcPr>
            <w:tcW w:w="3475"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273"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10</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未按照规定要求实行回避</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四）未按照规定要求实行回避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第二十二条</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第二十六条第（四）项</w:t>
            </w:r>
          </w:p>
        </w:tc>
        <w:tc>
          <w:tcPr>
            <w:tcW w:w="3475" w:type="dxa"/>
            <w:vMerge w:val="restart"/>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1、2年内第1次查处的，警告，罚款1万元；</w:t>
            </w:r>
          </w:p>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2、2年内第2次查处的，警告，罚款2万元；</w:t>
            </w:r>
          </w:p>
          <w:p>
            <w:pPr>
              <w:rPr>
                <w:rFonts w:ascii="仿宋_GB2312"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3、2年内3次以上查处的，或在社会上造成恶劣影响的，或有其他严重情节的，警告，罚款3元。</w:t>
            </w: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263" w:hRule="atLeast"/>
          <w:jc w:val="center"/>
        </w:trPr>
        <w:tc>
          <w:tcPr>
            <w:tcW w:w="268"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11</w:t>
            </w:r>
          </w:p>
        </w:tc>
        <w:tc>
          <w:tcPr>
            <w:tcW w:w="2406"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阻挠、抗拒文化行政部门或者文化市场综合执法机构工作人员监督检查</w:t>
            </w:r>
          </w:p>
        </w:tc>
        <w:tc>
          <w:tcPr>
            <w:tcW w:w="4809"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社会艺术水平考级管理办法》第二十六条：艺术考级机构有下列行为之一的，由文化行政部门或者文化市场综合执法机构予以警告，责令改正并处30000元以下罚款；情节严重的，取消开办艺术考级活动资格：（五）阻挠、抗拒文化行政部门或者文化市场综合执法机构工作人员监督检查的。</w:t>
            </w:r>
          </w:p>
        </w:tc>
        <w:tc>
          <w:tcPr>
            <w:tcW w:w="892" w:type="dxa"/>
            <w:shd w:val="clear" w:color="auto" w:fill="auto"/>
            <w:vAlign w:val="center"/>
          </w:tcPr>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第二十六条</w:t>
            </w:r>
          </w:p>
          <w:p>
            <w:pPr>
              <w:jc w:val="cente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第（五）项</w:t>
            </w:r>
          </w:p>
        </w:tc>
        <w:tc>
          <w:tcPr>
            <w:tcW w:w="1514" w:type="dxa"/>
            <w:shd w:val="clear" w:color="auto" w:fill="auto"/>
            <w:vAlign w:val="center"/>
          </w:tcPr>
          <w:p>
            <w:pPr>
              <w:rPr>
                <w:rFonts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第二十六条第（五）项</w:t>
            </w:r>
          </w:p>
        </w:tc>
        <w:tc>
          <w:tcPr>
            <w:tcW w:w="3475"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624"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jc w:val="center"/>
          <w:hidden/>
        </w:trPr>
        <w:tc>
          <w:tcPr>
            <w:tcW w:w="268"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2406"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4809"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892"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1514"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3475"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624"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r>
    </w:tbl>
    <w:p>
      <w:pPr>
        <w:rPr>
          <w:rFonts w:ascii="仿宋_GB2312" w:eastAsia="仿宋_GB2312"/>
          <w:color w:val="000000" w:themeColor="text1"/>
          <w:sz w:val="21"/>
          <w:szCs w:val="21"/>
          <w14:textFill>
            <w14:solidFill>
              <w14:schemeClr w14:val="tx1"/>
            </w14:solidFill>
          </w14:textFill>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4"/>
  </w:compat>
  <w:rsids>
    <w:rsidRoot w:val="00222C7A"/>
    <w:rsid w:val="000119AF"/>
    <w:rsid w:val="00065EBA"/>
    <w:rsid w:val="000730D8"/>
    <w:rsid w:val="000C60E7"/>
    <w:rsid w:val="00222C7A"/>
    <w:rsid w:val="00273347"/>
    <w:rsid w:val="00291E96"/>
    <w:rsid w:val="002F7EAD"/>
    <w:rsid w:val="00360DE3"/>
    <w:rsid w:val="00423D97"/>
    <w:rsid w:val="00696C82"/>
    <w:rsid w:val="006A5D84"/>
    <w:rsid w:val="00836DBB"/>
    <w:rsid w:val="00B76013"/>
    <w:rsid w:val="00CA139A"/>
    <w:rsid w:val="00E748B8"/>
    <w:rsid w:val="00E85073"/>
    <w:rsid w:val="00E91D0D"/>
    <w:rsid w:val="00FC5558"/>
    <w:rsid w:val="7BFC16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19"/>
    <w:unhideWhenUsed/>
    <w:uiPriority w:val="99"/>
    <w:pPr>
      <w:tabs>
        <w:tab w:val="center" w:pos="4153"/>
        <w:tab w:val="right" w:pos="8306"/>
      </w:tabs>
      <w:snapToGrid w:val="0"/>
    </w:pPr>
    <w:rPr>
      <w:sz w:val="18"/>
      <w:szCs w:val="18"/>
    </w:rPr>
  </w:style>
  <w:style w:type="paragraph" w:styleId="3">
    <w:name w:val="header"/>
    <w:basedOn w:val="1"/>
    <w:link w:val="18"/>
    <w:unhideWhenUsed/>
    <w:uiPriority w:val="99"/>
    <w:pPr>
      <w:pBdr>
        <w:bottom w:val="single" w:color="auto" w:sz="6" w:space="1"/>
      </w:pBdr>
      <w:tabs>
        <w:tab w:val="center" w:pos="4153"/>
        <w:tab w:val="right" w:pos="8306"/>
      </w:tabs>
      <w:snapToGrid w:val="0"/>
      <w:jc w:val="center"/>
    </w:pPr>
    <w:rPr>
      <w:sz w:val="18"/>
      <w:szCs w:val="18"/>
    </w:rPr>
  </w:style>
  <w:style w:type="paragraph" w:customStyle="1" w:styleId="6">
    <w:name w:val="xl654413"/>
    <w:basedOn w:val="1"/>
    <w:uiPriority w:val="0"/>
    <w:pPr>
      <w:spacing w:before="100" w:beforeAutospacing="1" w:after="100" w:afterAutospacing="1"/>
      <w:textAlignment w:val="center"/>
    </w:pPr>
  </w:style>
  <w:style w:type="paragraph" w:customStyle="1" w:styleId="7">
    <w:name w:val="xl664413"/>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b/>
      <w:bCs/>
      <w:color w:val="000000"/>
      <w:sz w:val="20"/>
      <w:szCs w:val="20"/>
    </w:rPr>
  </w:style>
  <w:style w:type="paragraph" w:customStyle="1" w:styleId="8">
    <w:name w:val="xl674413"/>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b/>
      <w:bCs/>
      <w:sz w:val="20"/>
      <w:szCs w:val="20"/>
    </w:rPr>
  </w:style>
  <w:style w:type="paragraph" w:customStyle="1" w:styleId="9">
    <w:name w:val="xl684413"/>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 w:hAnsi="仿宋" w:eastAsia="仿宋"/>
    </w:rPr>
  </w:style>
  <w:style w:type="paragraph" w:customStyle="1" w:styleId="10">
    <w:name w:val="xl6944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 w:hAnsi="仿宋" w:eastAsia="仿宋"/>
      <w:sz w:val="22"/>
      <w:szCs w:val="22"/>
    </w:rPr>
  </w:style>
  <w:style w:type="paragraph" w:customStyle="1" w:styleId="11">
    <w:name w:val="xl7044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 w:hAnsi="仿宋" w:eastAsia="仿宋"/>
      <w:sz w:val="22"/>
      <w:szCs w:val="22"/>
    </w:rPr>
  </w:style>
  <w:style w:type="paragraph" w:customStyle="1" w:styleId="12">
    <w:name w:val="xl7144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 w:hAnsi="仿宋" w:eastAsia="仿宋"/>
      <w:sz w:val="22"/>
      <w:szCs w:val="22"/>
    </w:rPr>
  </w:style>
  <w:style w:type="paragraph" w:customStyle="1" w:styleId="13">
    <w:name w:val="xl7244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style>
  <w:style w:type="paragraph" w:customStyle="1" w:styleId="14">
    <w:name w:val="xl7344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 w:hAnsi="仿宋" w:eastAsia="仿宋"/>
      <w:color w:val="FF0000"/>
      <w:sz w:val="22"/>
      <w:szCs w:val="22"/>
    </w:rPr>
  </w:style>
  <w:style w:type="paragraph" w:customStyle="1" w:styleId="15">
    <w:name w:val="xl744413"/>
    <w:basedOn w:val="1"/>
    <w:qFormat/>
    <w:uiPriority w:val="0"/>
    <w:pPr>
      <w:spacing w:before="100" w:beforeAutospacing="1" w:after="100" w:afterAutospacing="1"/>
      <w:textAlignment w:val="center"/>
    </w:pPr>
    <w:rPr>
      <w:rFonts w:ascii="仿宋" w:hAnsi="仿宋" w:eastAsia="仿宋"/>
      <w:sz w:val="22"/>
      <w:szCs w:val="22"/>
    </w:rPr>
  </w:style>
  <w:style w:type="paragraph" w:customStyle="1" w:styleId="16">
    <w:name w:val="xl754413"/>
    <w:basedOn w:val="1"/>
    <w:qFormat/>
    <w:uiPriority w:val="0"/>
    <w:pPr>
      <w:spacing w:before="100" w:beforeAutospacing="1" w:after="100" w:afterAutospacing="1"/>
      <w:jc w:val="center"/>
      <w:textAlignment w:val="center"/>
    </w:pPr>
    <w:rPr>
      <w:rFonts w:ascii="仿宋" w:hAnsi="仿宋" w:eastAsia="仿宋"/>
      <w:b/>
      <w:bCs/>
      <w:sz w:val="28"/>
      <w:szCs w:val="28"/>
    </w:rPr>
  </w:style>
  <w:style w:type="paragraph" w:customStyle="1" w:styleId="17">
    <w:name w:val="xl764413"/>
    <w:basedOn w:val="1"/>
    <w:uiPriority w:val="0"/>
    <w:pPr>
      <w:spacing w:before="100" w:beforeAutospacing="1" w:after="100" w:afterAutospacing="1"/>
      <w:jc w:val="center"/>
      <w:textAlignment w:val="center"/>
    </w:pPr>
  </w:style>
  <w:style w:type="character" w:customStyle="1" w:styleId="18">
    <w:name w:val="页眉 Char"/>
    <w:basedOn w:val="4"/>
    <w:link w:val="3"/>
    <w:qFormat/>
    <w:uiPriority w:val="99"/>
    <w:rPr>
      <w:rFonts w:ascii="宋体" w:hAnsi="宋体" w:eastAsia="宋体" w:cs="宋体"/>
      <w:sz w:val="18"/>
      <w:szCs w:val="18"/>
    </w:rPr>
  </w:style>
  <w:style w:type="character" w:customStyle="1" w:styleId="19">
    <w:name w:val="页脚 Char"/>
    <w:basedOn w:val="4"/>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340</Words>
  <Characters>1938</Characters>
  <Lines>16</Lines>
  <Paragraphs>4</Paragraphs>
  <TotalTime>29</TotalTime>
  <ScaleCrop>false</ScaleCrop>
  <LinksUpToDate>false</LinksUpToDate>
  <CharactersWithSpaces>2274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2019-07-10T09:46:00Z</dcterms:created>
  <dc:creator>未定义</dc:creator>
  <cp:lastModifiedBy>未定义</cp:lastModifiedBy>
  <cp:lastPrinted>2020-12-09T07:43:00Z</cp:lastPrinted>
  <dcterms:modified xsi:type="dcterms:W3CDTF">2021-11-23T01:44:05Z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