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52"/>
          <w:szCs w:val="52"/>
        </w:rPr>
      </w:pPr>
      <w:bookmarkStart w:id="0" w:name="_GoBack"/>
      <w:r>
        <w:rPr>
          <w:rFonts w:hint="eastAsia" w:ascii="方正小标宋简体" w:hAnsi="方正小标宋简体" w:eastAsia="方正小标宋简体" w:cs="方正小标宋简体"/>
          <w:color w:val="auto"/>
          <w:sz w:val="52"/>
          <w:szCs w:val="52"/>
        </w:rPr>
        <w:t>《揭阳市全民阅读促进条例</w:t>
      </w: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（草案</w:t>
      </w:r>
      <w:r>
        <w:rPr>
          <w:rFonts w:hint="eastAsia" w:ascii="方正小标宋简体" w:hAnsi="方正小标宋简体" w:eastAsia="方正小标宋简体" w:cs="方正小标宋简体"/>
          <w:color w:val="auto"/>
          <w:sz w:val="52"/>
          <w:szCs w:val="52"/>
          <w:lang w:eastAsia="zh-CN"/>
        </w:rPr>
        <w:t>送审稿</w:t>
      </w:r>
      <w:r>
        <w:rPr>
          <w:rFonts w:hint="eastAsia" w:ascii="方正小标宋简体" w:hAnsi="方正小标宋简体" w:eastAsia="方正小标宋简体" w:cs="方正小标宋简体"/>
          <w:color w:val="auto"/>
          <w:sz w:val="52"/>
          <w:szCs w:val="52"/>
        </w:rPr>
        <w:t>）》</w:t>
      </w:r>
    </w:p>
    <w:p>
      <w:pPr>
        <w:jc w:val="center"/>
        <w:rPr>
          <w:rFonts w:hint="eastAsia" w:ascii="方正小标宋简体" w:hAnsi="方正小标宋简体" w:eastAsia="方正小标宋简体" w:cs="方正小标宋简体"/>
          <w:color w:val="auto"/>
          <w:sz w:val="52"/>
          <w:szCs w:val="52"/>
        </w:rPr>
      </w:pPr>
    </w:p>
    <w:p>
      <w:pPr>
        <w:jc w:val="both"/>
        <w:rPr>
          <w:rFonts w:ascii="华光标题宋_CNKI" w:hAnsi="华光标题宋_CNKI" w:eastAsia="华光标题宋_CNKI"/>
          <w:color w:val="auto"/>
          <w:sz w:val="32"/>
        </w:rPr>
      </w:pPr>
    </w:p>
    <w:p>
      <w:pPr>
        <w:jc w:val="center"/>
        <w:rPr>
          <w:rFonts w:ascii="华光标题宋_CNKI" w:hAnsi="华光标题宋_CNKI" w:eastAsia="华光标题宋_CNKI"/>
          <w:color w:val="auto"/>
          <w:sz w:val="52"/>
          <w:szCs w:val="52"/>
        </w:rPr>
      </w:pPr>
    </w:p>
    <w:p>
      <w:pPr>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起</w:t>
      </w:r>
    </w:p>
    <w:p>
      <w:pPr>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草</w:t>
      </w:r>
    </w:p>
    <w:p>
      <w:pPr>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说</w:t>
      </w:r>
    </w:p>
    <w:p>
      <w:pPr>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明</w:t>
      </w:r>
    </w:p>
    <w:p>
      <w:pPr>
        <w:jc w:val="center"/>
        <w:rPr>
          <w:rFonts w:ascii="华光标题宋_CNKI" w:hAnsi="华光标题宋_CNKI" w:eastAsia="华光标题宋_CNKI"/>
          <w:color w:val="auto"/>
          <w:sz w:val="32"/>
        </w:rPr>
      </w:pPr>
    </w:p>
    <w:p>
      <w:pPr>
        <w:jc w:val="center"/>
        <w:rPr>
          <w:rFonts w:ascii="华光标题宋_CNKI" w:hAnsi="华光标题宋_CNKI" w:eastAsia="华光标题宋_CNKI"/>
          <w:color w:val="auto"/>
          <w:sz w:val="32"/>
        </w:rPr>
      </w:pPr>
    </w:p>
    <w:p>
      <w:pPr>
        <w:jc w:val="center"/>
        <w:rPr>
          <w:rFonts w:ascii="华光标题宋_CNKI" w:hAnsi="华光标题宋_CNKI" w:eastAsia="华光标题宋_CNKI"/>
          <w:color w:val="auto"/>
          <w:sz w:val="32"/>
        </w:rPr>
      </w:pPr>
    </w:p>
    <w:p>
      <w:pPr>
        <w:jc w:val="center"/>
        <w:rPr>
          <w:rFonts w:ascii="华光标题宋_CNKI" w:hAnsi="华光标题宋_CNKI" w:eastAsia="华光标题宋_CNKI"/>
          <w:color w:val="auto"/>
          <w:sz w:val="32"/>
        </w:rPr>
      </w:pPr>
    </w:p>
    <w:p>
      <w:pPr>
        <w:jc w:val="center"/>
        <w:rPr>
          <w:rFonts w:ascii="华光标题宋_CNKI" w:hAnsi="华光标题宋_CNKI" w:eastAsia="华光标题宋_CNKI"/>
          <w:color w:val="auto"/>
          <w:sz w:val="32"/>
        </w:rPr>
      </w:pPr>
    </w:p>
    <w:p>
      <w:pPr>
        <w:widowControl/>
        <w:jc w:val="center"/>
        <w:rPr>
          <w:rFonts w:hint="eastAsia" w:ascii="方正小标宋简体" w:hAnsi="方正小标宋简体" w:eastAsia="方正小标宋简体" w:cs="方正小标宋简体"/>
          <w:color w:val="auto"/>
          <w:sz w:val="44"/>
          <w:szCs w:val="44"/>
        </w:rPr>
        <w:sectPr>
          <w:pgSz w:w="11906" w:h="16838"/>
          <w:pgMar w:top="2211" w:right="1531" w:bottom="1871" w:left="1531" w:header="851" w:footer="992" w:gutter="0"/>
          <w:pgNumType w:fmt="numberInDash"/>
          <w:cols w:space="0" w:num="1"/>
          <w:rtlGutter w:val="0"/>
          <w:docGrid w:type="lines" w:linePitch="312" w:charSpace="0"/>
        </w:sectPr>
      </w:pPr>
    </w:p>
    <w:p>
      <w:pPr>
        <w:widowControl/>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关于《揭阳市全民阅读促进条例</w:t>
      </w:r>
      <w:r>
        <w:rPr>
          <w:rFonts w:hint="eastAsia" w:ascii="方正小标宋简体" w:hAnsi="方正小标宋简体" w:eastAsia="方正小标宋简体" w:cs="方正小标宋简体"/>
          <w:color w:val="auto"/>
          <w:sz w:val="44"/>
          <w:szCs w:val="44"/>
          <w:lang w:eastAsia="zh-CN"/>
        </w:rPr>
        <w:t>（草案送审稿）</w:t>
      </w:r>
      <w:r>
        <w:rPr>
          <w:rFonts w:hint="eastAsia" w:ascii="方正小标宋简体" w:hAnsi="方正小标宋简体" w:eastAsia="方正小标宋简体" w:cs="方正小标宋简体"/>
          <w:color w:val="auto"/>
          <w:sz w:val="44"/>
          <w:szCs w:val="44"/>
        </w:rPr>
        <w:t>》起草说明</w:t>
      </w:r>
    </w:p>
    <w:p>
      <w:pPr>
        <w:spacing w:line="560" w:lineRule="exact"/>
        <w:ind w:firstLine="640" w:firstLineChars="200"/>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《揭阳市全民阅读促进条例》（以下简称《条例》</w:t>
      </w:r>
      <w:r>
        <w:rPr>
          <w:rFonts w:hint="eastAsia" w:ascii="仿宋" w:hAnsi="仿宋" w:eastAsia="仿宋"/>
          <w:color w:val="auto"/>
          <w:sz w:val="32"/>
          <w:szCs w:val="32"/>
        </w:rPr>
        <w:t>）是</w:t>
      </w:r>
      <w:r>
        <w:rPr>
          <w:rFonts w:ascii="仿宋" w:hAnsi="仿宋" w:eastAsia="仿宋"/>
          <w:color w:val="auto"/>
          <w:sz w:val="32"/>
          <w:szCs w:val="32"/>
        </w:rPr>
        <w:t>2023年立法审议项目。</w:t>
      </w:r>
      <w:r>
        <w:rPr>
          <w:rFonts w:hint="eastAsia" w:ascii="仿宋" w:hAnsi="仿宋" w:eastAsia="仿宋"/>
          <w:color w:val="auto"/>
          <w:sz w:val="32"/>
          <w:szCs w:val="32"/>
        </w:rPr>
        <w:t>2</w:t>
      </w:r>
      <w:r>
        <w:rPr>
          <w:rFonts w:ascii="仿宋" w:hAnsi="仿宋" w:eastAsia="仿宋"/>
          <w:color w:val="auto"/>
          <w:sz w:val="32"/>
          <w:szCs w:val="32"/>
        </w:rPr>
        <w:t>023年初以来，</w:t>
      </w:r>
      <w:r>
        <w:rPr>
          <w:rFonts w:hint="eastAsia" w:ascii="仿宋" w:hAnsi="仿宋" w:eastAsia="仿宋"/>
          <w:color w:val="auto"/>
          <w:sz w:val="32"/>
          <w:szCs w:val="32"/>
        </w:rPr>
        <w:t>市人民政府受</w:t>
      </w:r>
      <w:r>
        <w:rPr>
          <w:rFonts w:ascii="仿宋" w:hAnsi="仿宋" w:eastAsia="仿宋"/>
          <w:color w:val="auto"/>
          <w:sz w:val="32"/>
          <w:szCs w:val="32"/>
        </w:rPr>
        <w:t>市人大常委会</w:t>
      </w:r>
      <w:r>
        <w:rPr>
          <w:rFonts w:hint="eastAsia" w:ascii="仿宋" w:hAnsi="仿宋" w:eastAsia="仿宋"/>
          <w:color w:val="auto"/>
          <w:sz w:val="32"/>
          <w:szCs w:val="32"/>
        </w:rPr>
        <w:t>指派承担《揭阳市全民阅读促进条例》起草组织工作，具体工作由市新闻出版局（市委宣传部）承担。现就《条例》起草情况简要说明如下：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一、立法的必要性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rPr>
        <w:t>（一）制定《条例》是保障公民文化权利的需要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公民阅读权利是《宪法》赋予公民的基本文化权利之一，推进全民阅读即是实现公民文化权利的重要内容。</w:t>
      </w:r>
      <w:r>
        <w:rPr>
          <w:rFonts w:ascii="仿宋" w:hAnsi="仿宋" w:eastAsia="仿宋"/>
          <w:color w:val="auto"/>
          <w:sz w:val="32"/>
          <w:szCs w:val="32"/>
        </w:rPr>
        <w:t>2009年</w:t>
      </w:r>
      <w:r>
        <w:rPr>
          <w:rFonts w:hint="eastAsia" w:ascii="仿宋" w:hAnsi="仿宋" w:eastAsia="仿宋"/>
          <w:color w:val="auto"/>
          <w:sz w:val="32"/>
          <w:szCs w:val="32"/>
        </w:rPr>
        <w:t>，</w:t>
      </w:r>
      <w:r>
        <w:rPr>
          <w:rFonts w:ascii="仿宋" w:hAnsi="仿宋" w:eastAsia="仿宋"/>
          <w:color w:val="auto"/>
          <w:sz w:val="32"/>
          <w:szCs w:val="32"/>
        </w:rPr>
        <w:t>中央宣传部、文化部等9部委提出“倡导全民读书，建设阅读社会”</w:t>
      </w:r>
      <w:r>
        <w:rPr>
          <w:rFonts w:hint="eastAsia" w:ascii="仿宋" w:hAnsi="仿宋" w:eastAsia="仿宋"/>
          <w:color w:val="auto"/>
          <w:sz w:val="32"/>
          <w:szCs w:val="32"/>
        </w:rPr>
        <w:t>，掀起全民阅读风潮，引领迈向学习型社会</w:t>
      </w:r>
      <w:r>
        <w:rPr>
          <w:rFonts w:ascii="仿宋" w:hAnsi="仿宋" w:eastAsia="仿宋"/>
          <w:color w:val="auto"/>
          <w:sz w:val="32"/>
          <w:szCs w:val="32"/>
        </w:rPr>
        <w:t>。</w:t>
      </w:r>
      <w:r>
        <w:rPr>
          <w:rFonts w:hint="eastAsia" w:ascii="仿宋" w:hAnsi="仿宋" w:eastAsia="仿宋"/>
          <w:color w:val="auto"/>
          <w:sz w:val="32"/>
          <w:szCs w:val="32"/>
        </w:rPr>
        <w:t>党的二十大报告提出：“深化全民阅读活动。”“十四五”规划和</w:t>
      </w:r>
      <w:r>
        <w:rPr>
          <w:rFonts w:ascii="仿宋" w:hAnsi="仿宋" w:eastAsia="仿宋"/>
          <w:color w:val="auto"/>
          <w:sz w:val="32"/>
          <w:szCs w:val="32"/>
        </w:rPr>
        <w:t>2035年远景目标纲要明确，“深入推进全民阅读，建设‘书香中国’”。自2014年以来，全民阅读连续</w:t>
      </w:r>
      <w:r>
        <w:rPr>
          <w:rFonts w:hint="eastAsia" w:ascii="仿宋" w:hAnsi="仿宋" w:eastAsia="仿宋"/>
          <w:color w:val="auto"/>
          <w:sz w:val="32"/>
          <w:szCs w:val="32"/>
        </w:rPr>
        <w:t>10年</w:t>
      </w:r>
      <w:r>
        <w:rPr>
          <w:rFonts w:ascii="仿宋" w:hAnsi="仿宋" w:eastAsia="仿宋"/>
          <w:color w:val="auto"/>
          <w:sz w:val="32"/>
          <w:szCs w:val="32"/>
        </w:rPr>
        <w:t>写入《政府工作报告》。加强阅读设施建设、开展阅读推广活动、推荐阅读书目、指导市民学会阅读、公益性阅读组织和阅读志愿者等社会力量的培育等都是全民阅读促进工作的重要内容。这就迫切需要以法治来统一政府和社会对全民阅读的认识，明确各相关主体在全民阅读促进工作中的权利义务和责任，激发社会各界的参与全民阅读促进工作的热情，</w:t>
      </w:r>
      <w:r>
        <w:rPr>
          <w:rFonts w:hint="eastAsia" w:ascii="仿宋" w:hAnsi="仿宋" w:eastAsia="仿宋"/>
          <w:color w:val="auto"/>
          <w:sz w:val="32"/>
          <w:szCs w:val="32"/>
        </w:rPr>
        <w:t>更好保障公民的</w:t>
      </w:r>
      <w:r>
        <w:rPr>
          <w:rFonts w:ascii="仿宋" w:hAnsi="仿宋" w:eastAsia="仿宋"/>
          <w:color w:val="auto"/>
          <w:sz w:val="32"/>
          <w:szCs w:val="32"/>
        </w:rPr>
        <w:t>文化权利</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rPr>
        <w:t>（二）制定《条例》是</w:t>
      </w:r>
      <w:r>
        <w:rPr>
          <w:rFonts w:hint="eastAsia" w:ascii="仿宋" w:hAnsi="仿宋" w:eastAsia="仿宋"/>
          <w:b/>
          <w:color w:val="auto"/>
          <w:sz w:val="32"/>
          <w:szCs w:val="32"/>
        </w:rPr>
        <w:t>打造“书香揭阳”推进文化强市建设的</w:t>
      </w:r>
      <w:r>
        <w:rPr>
          <w:rFonts w:hint="eastAsia" w:ascii="仿宋" w:hAnsi="仿宋" w:eastAsia="仿宋"/>
          <w:b/>
          <w:color w:val="auto"/>
          <w:sz w:val="32"/>
          <w:szCs w:val="32"/>
        </w:rPr>
        <w:t>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文化是城市之魂。《揭阳市国民经济和社会发展第十四个五年规划和</w:t>
      </w:r>
      <w:r>
        <w:rPr>
          <w:rFonts w:ascii="仿宋" w:hAnsi="仿宋" w:eastAsia="仿宋"/>
          <w:color w:val="auto"/>
          <w:sz w:val="32"/>
          <w:szCs w:val="32"/>
        </w:rPr>
        <w:t>2035年远景目标纲要》提出要建设书香之城，采用“旅游+文化”模式打造具有揭阳特色的文化品牌。</w:t>
      </w:r>
      <w:r>
        <w:rPr>
          <w:rFonts w:ascii="仿宋" w:hAnsi="仿宋" w:eastAsia="仿宋"/>
          <w:color w:val="auto"/>
          <w:sz w:val="32"/>
          <w:szCs w:val="32"/>
        </w:rPr>
        <w:t>建设书香之城是传承和弘扬揭阳优秀文化传统的现实需要，</w:t>
      </w:r>
      <w:r>
        <w:rPr>
          <w:rFonts w:hint="eastAsia" w:ascii="仿宋" w:hAnsi="仿宋" w:eastAsia="仿宋"/>
          <w:color w:val="auto"/>
          <w:sz w:val="32"/>
          <w:szCs w:val="32"/>
        </w:rPr>
        <w:t>是打造“书香揭阳”以此</w:t>
      </w:r>
      <w:r>
        <w:rPr>
          <w:rFonts w:ascii="仿宋" w:hAnsi="仿宋" w:eastAsia="仿宋"/>
          <w:color w:val="auto"/>
          <w:sz w:val="32"/>
          <w:szCs w:val="32"/>
        </w:rPr>
        <w:t>推动揭阳高质量发展、创造高品质生活的必然要求，</w:t>
      </w:r>
      <w:r>
        <w:rPr>
          <w:rFonts w:hint="eastAsia" w:ascii="仿宋" w:hAnsi="仿宋" w:eastAsia="仿宋"/>
          <w:color w:val="auto"/>
          <w:sz w:val="32"/>
          <w:szCs w:val="32"/>
        </w:rPr>
        <w:t>也推进文化强市建设</w:t>
      </w:r>
      <w:r>
        <w:rPr>
          <w:rFonts w:ascii="仿宋" w:hAnsi="仿宋" w:eastAsia="仿宋"/>
          <w:color w:val="auto"/>
          <w:sz w:val="32"/>
          <w:szCs w:val="32"/>
        </w:rPr>
        <w:t>的战略举措。以立法引领、规范和促进全民阅读工作，有助于我市加快发展动能转换、加快城市品质提升、加强城乡统筹发展、增添城市文化魅力，擦亮“书香揭阳”城市名片</w:t>
      </w:r>
      <w:r>
        <w:rPr>
          <w:rFonts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rPr>
        <w:t>（三）制定《条例》是解决我市全民阅读工作存在体制机制等问题的需要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我市历史文化底蕴深厚，但是</w:t>
      </w:r>
      <w:r>
        <w:rPr>
          <w:rFonts w:ascii="仿宋" w:hAnsi="仿宋" w:eastAsia="仿宋"/>
          <w:color w:val="auto"/>
          <w:sz w:val="32"/>
          <w:szCs w:val="32"/>
        </w:rPr>
        <w:t>全民阅读工作仍有较大的提升空间，在培养市民阅读习惯、促进全民阅读良好氛围的形成方面，政府和社会各界仍有许多工作要做</w:t>
      </w:r>
      <w:r>
        <w:rPr>
          <w:rFonts w:hint="eastAsia" w:ascii="仿宋" w:hAnsi="仿宋" w:eastAsia="仿宋"/>
          <w:color w:val="auto"/>
          <w:sz w:val="32"/>
          <w:szCs w:val="32"/>
        </w:rPr>
        <w:t>，在全民阅读工作体制机制等方面还存在着不足，与先进城市相比也有一定的差距。全民阅读促进工作中的政府责任不明确，各部门各自为政，社会与公民的参与有限，没有形成工作合力。全民阅读的设施保障、经费保障、人员保障、数字化建设、推广服务等方面有历史欠债，重复建设、资源利用率低等现象也客观存在，资源的有限与激励机制不够健全，调动社会各方面力量参与全民阅读工作也不够，等等。这些都需要通过地方立法来规范、引导和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二、《条例》起草过程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根据《揭阳市人大常委会</w:t>
      </w:r>
      <w:r>
        <w:rPr>
          <w:rFonts w:ascii="仿宋" w:hAnsi="仿宋" w:eastAsia="仿宋"/>
          <w:color w:val="auto"/>
          <w:sz w:val="32"/>
          <w:szCs w:val="32"/>
        </w:rPr>
        <w:t>2023年立法工作计划》</w:t>
      </w:r>
      <w:r>
        <w:rPr>
          <w:rFonts w:hint="eastAsia" w:ascii="仿宋" w:hAnsi="仿宋" w:eastAsia="仿宋"/>
          <w:color w:val="auto"/>
          <w:sz w:val="32"/>
          <w:szCs w:val="32"/>
        </w:rPr>
        <w:t>，《条例》列入</w:t>
      </w:r>
      <w:r>
        <w:rPr>
          <w:rFonts w:ascii="仿宋" w:hAnsi="仿宋" w:eastAsia="仿宋"/>
          <w:color w:val="auto"/>
          <w:sz w:val="32"/>
          <w:szCs w:val="32"/>
        </w:rPr>
        <w:t>2023年立法审议项目</w:t>
      </w:r>
      <w:r>
        <w:rPr>
          <w:rFonts w:hint="eastAsia" w:ascii="仿宋" w:hAnsi="仿宋" w:eastAsia="仿宋"/>
          <w:color w:val="auto"/>
          <w:sz w:val="32"/>
          <w:szCs w:val="32"/>
        </w:rPr>
        <w:t>，并由</w:t>
      </w:r>
      <w:r>
        <w:rPr>
          <w:rFonts w:ascii="仿宋" w:hAnsi="仿宋" w:eastAsia="仿宋"/>
          <w:color w:val="auto"/>
          <w:sz w:val="32"/>
          <w:szCs w:val="32"/>
        </w:rPr>
        <w:t>市新闻出版局</w:t>
      </w:r>
      <w:r>
        <w:rPr>
          <w:rFonts w:hint="eastAsia" w:ascii="仿宋" w:hAnsi="仿宋" w:eastAsia="仿宋"/>
          <w:color w:val="auto"/>
          <w:sz w:val="32"/>
          <w:szCs w:val="32"/>
        </w:rPr>
        <w:t>、市文化广电旅游体育局共同承担组织《条例》的起草工作。市新闻出版局成立代市政府起草《条例》的</w:t>
      </w:r>
      <w:r>
        <w:rPr>
          <w:rFonts w:ascii="仿宋" w:hAnsi="仿宋" w:eastAsia="仿宋"/>
          <w:color w:val="auto"/>
          <w:sz w:val="32"/>
          <w:szCs w:val="32"/>
        </w:rPr>
        <w:t>起草小组，成员有市新闻出版局、市人大文教科卫工委、市人大法工委、市司法局、市</w:t>
      </w:r>
      <w:r>
        <w:rPr>
          <w:rFonts w:hint="eastAsia" w:ascii="仿宋" w:hAnsi="仿宋" w:eastAsia="仿宋"/>
          <w:color w:val="auto"/>
          <w:sz w:val="32"/>
          <w:szCs w:val="32"/>
        </w:rPr>
        <w:t>文化广电旅游体育局</w:t>
      </w:r>
      <w:r>
        <w:rPr>
          <w:rFonts w:ascii="仿宋" w:hAnsi="仿宋" w:eastAsia="仿宋"/>
          <w:color w:val="auto"/>
          <w:sz w:val="32"/>
          <w:szCs w:val="32"/>
        </w:rPr>
        <w:t>等相关单位领导和工作人员，市图书馆、市新华书店有关负责人，高校教师等专业人员组成。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调研和</w:t>
      </w:r>
      <w:r>
        <w:rPr>
          <w:rFonts w:hint="eastAsia" w:ascii="仿宋" w:hAnsi="仿宋" w:eastAsia="仿宋"/>
          <w:color w:val="auto"/>
          <w:sz w:val="32"/>
          <w:szCs w:val="32"/>
        </w:rPr>
        <w:t>《</w:t>
      </w:r>
      <w:r>
        <w:rPr>
          <w:rFonts w:ascii="仿宋" w:hAnsi="仿宋" w:eastAsia="仿宋"/>
          <w:color w:val="auto"/>
          <w:sz w:val="32"/>
          <w:szCs w:val="32"/>
        </w:rPr>
        <w:t>条例</w:t>
      </w:r>
      <w:r>
        <w:rPr>
          <w:rFonts w:hint="eastAsia" w:ascii="仿宋" w:hAnsi="仿宋" w:eastAsia="仿宋"/>
          <w:color w:val="auto"/>
          <w:sz w:val="32"/>
          <w:szCs w:val="32"/>
        </w:rPr>
        <w:t>》</w:t>
      </w:r>
      <w:r>
        <w:rPr>
          <w:rFonts w:ascii="仿宋" w:hAnsi="仿宋" w:eastAsia="仿宋"/>
          <w:color w:val="auto"/>
          <w:sz w:val="32"/>
          <w:szCs w:val="32"/>
        </w:rPr>
        <w:t>起草工作从3月份开始，</w:t>
      </w:r>
      <w:r>
        <w:rPr>
          <w:rFonts w:ascii="仿宋" w:hAnsi="仿宋" w:eastAsia="仿宋"/>
          <w:b/>
          <w:color w:val="auto"/>
          <w:sz w:val="32"/>
          <w:szCs w:val="32"/>
        </w:rPr>
        <w:t>至7月</w:t>
      </w:r>
      <w:r>
        <w:rPr>
          <w:rFonts w:ascii="仿宋" w:hAnsi="仿宋" w:eastAsia="仿宋"/>
          <w:color w:val="auto"/>
          <w:sz w:val="32"/>
          <w:szCs w:val="32"/>
        </w:rPr>
        <w:t>基本结束，主要做了三方面工作：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方正楷体简体" w:hAnsi="方正楷体简体" w:eastAsia="方正楷体简体" w:cs="方正楷体简体"/>
          <w:color w:val="auto"/>
          <w:sz w:val="32"/>
          <w:szCs w:val="32"/>
        </w:rPr>
        <w:t>一是梳理分析相关资料。</w:t>
      </w:r>
      <w:r>
        <w:rPr>
          <w:rFonts w:ascii="仿宋" w:hAnsi="仿宋" w:eastAsia="仿宋"/>
          <w:color w:val="auto"/>
          <w:sz w:val="32"/>
          <w:szCs w:val="32"/>
        </w:rPr>
        <w:t>收集并汇编</w:t>
      </w:r>
      <w:r>
        <w:rPr>
          <w:rFonts w:hint="eastAsia" w:ascii="仿宋" w:hAnsi="仿宋" w:eastAsia="仿宋"/>
          <w:color w:val="auto"/>
          <w:sz w:val="32"/>
          <w:szCs w:val="32"/>
        </w:rPr>
        <w:t>《揭阳市全民阅读促进条例（草案）》等材料，分析梳理涉及全民阅读方面的上位法、其他省市有关全民阅读的地方性法规、规章、规范性文件以及我市相关工作资料。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方正楷体简体" w:hAnsi="方正楷体简体" w:eastAsia="方正楷体简体" w:cs="方正楷体简体"/>
          <w:color w:val="auto"/>
          <w:sz w:val="32"/>
          <w:szCs w:val="32"/>
        </w:rPr>
        <w:t>二是深化调研。</w:t>
      </w:r>
      <w:r>
        <w:rPr>
          <w:rFonts w:hint="eastAsia" w:ascii="仿宋" w:hAnsi="仿宋" w:eastAsia="仿宋"/>
          <w:color w:val="auto"/>
          <w:sz w:val="32"/>
          <w:szCs w:val="32"/>
        </w:rPr>
        <w:t>在2023</w:t>
      </w:r>
      <w:r>
        <w:rPr>
          <w:rFonts w:ascii="仿宋" w:hAnsi="仿宋" w:eastAsia="仿宋"/>
          <w:color w:val="auto"/>
          <w:sz w:val="32"/>
          <w:szCs w:val="32"/>
        </w:rPr>
        <w:t>年</w:t>
      </w:r>
      <w:r>
        <w:rPr>
          <w:rFonts w:hint="eastAsia" w:ascii="仿宋" w:hAnsi="仿宋" w:eastAsia="仿宋"/>
          <w:color w:val="auto"/>
          <w:sz w:val="32"/>
          <w:szCs w:val="32"/>
        </w:rPr>
        <w:t>市新闻出版局围绕本市全民阅读</w:t>
      </w:r>
      <w:r>
        <w:rPr>
          <w:rFonts w:ascii="仿宋" w:hAnsi="仿宋" w:eastAsia="仿宋"/>
          <w:color w:val="auto"/>
          <w:sz w:val="32"/>
          <w:szCs w:val="32"/>
        </w:rPr>
        <w:t>调研的基础上，</w:t>
      </w:r>
      <w:r>
        <w:rPr>
          <w:rFonts w:hint="eastAsia" w:ascii="仿宋" w:hAnsi="仿宋" w:eastAsia="仿宋"/>
          <w:color w:val="auto"/>
          <w:sz w:val="32"/>
          <w:szCs w:val="32"/>
        </w:rPr>
        <w:t>《条例》</w:t>
      </w:r>
      <w:r>
        <w:rPr>
          <w:rFonts w:ascii="仿宋" w:hAnsi="仿宋" w:eastAsia="仿宋"/>
          <w:color w:val="auto"/>
          <w:sz w:val="32"/>
          <w:szCs w:val="32"/>
        </w:rPr>
        <w:t>起草小组又分别进行了市内的多次调研：在市内实地走访了市图书馆、市新华书店、农家书屋、城市书房等阅读主阵地，召开市有关部门负责人、县（区</w:t>
      </w:r>
      <w:r>
        <w:rPr>
          <w:rFonts w:hint="eastAsia" w:ascii="仿宋" w:hAnsi="仿宋" w:eastAsia="仿宋"/>
          <w:color w:val="auto"/>
          <w:sz w:val="32"/>
          <w:szCs w:val="32"/>
        </w:rPr>
        <w:t>、</w:t>
      </w:r>
      <w:r>
        <w:rPr>
          <w:rFonts w:ascii="仿宋" w:hAnsi="仿宋" w:eastAsia="仿宋"/>
          <w:color w:val="auto"/>
          <w:sz w:val="32"/>
          <w:szCs w:val="32"/>
        </w:rPr>
        <w:t>市）相关同志、社会各界代表等</w:t>
      </w:r>
      <w:r>
        <w:rPr>
          <w:rFonts w:hint="eastAsia" w:ascii="仿宋" w:hAnsi="仿宋" w:eastAsia="仿宋"/>
          <w:color w:val="auto"/>
          <w:sz w:val="32"/>
          <w:szCs w:val="32"/>
        </w:rPr>
        <w:t>参加的“建设书香揭阳”专题会议</w:t>
      </w:r>
      <w:r>
        <w:rPr>
          <w:rFonts w:ascii="仿宋" w:hAnsi="仿宋" w:eastAsia="仿宋"/>
          <w:color w:val="auto"/>
          <w:sz w:val="32"/>
          <w:szCs w:val="32"/>
        </w:rPr>
        <w:t>，听取意见建议。</w:t>
      </w:r>
      <w:r>
        <w:rPr>
          <w:rFonts w:hint="eastAsia" w:ascii="仿宋" w:hAnsi="仿宋" w:eastAsia="仿宋"/>
          <w:color w:val="auto"/>
          <w:sz w:val="32"/>
          <w:szCs w:val="32"/>
        </w:rPr>
        <w:t>参与专题会议听取意见涉及的单位有：市广播电视台、揭阳日报社、揭阳电信、市社科联、市文联、市妇联、市总工会、团市委、市读书协会、作家书城、揭阳新华书店、揭阳市图书馆、市教育局、市文广旅游体育局，以及惠来县委宣传部、揭东区委宣传部、揭西县委宣传部、普宁市委宣传部、榕城区委宣传部等。</w:t>
      </w:r>
      <w:r>
        <w:rPr>
          <w:rFonts w:ascii="仿宋" w:hAnsi="仿宋" w:eastAsia="仿宋"/>
          <w:color w:val="auto"/>
          <w:sz w:val="32"/>
          <w:szCs w:val="32"/>
        </w:rPr>
        <w:t>6月12-13日</w:t>
      </w:r>
      <w:r>
        <w:rPr>
          <w:rFonts w:hint="eastAsia" w:ascii="仿宋" w:hAnsi="仿宋" w:eastAsia="仿宋"/>
          <w:color w:val="auto"/>
          <w:sz w:val="32"/>
          <w:szCs w:val="32"/>
        </w:rPr>
        <w:t>，</w:t>
      </w:r>
      <w:r>
        <w:rPr>
          <w:rFonts w:ascii="仿宋" w:hAnsi="仿宋" w:eastAsia="仿宋"/>
          <w:color w:val="auto"/>
          <w:sz w:val="32"/>
          <w:szCs w:val="32"/>
        </w:rPr>
        <w:t>由揭阳市宣传部、人大法工委、人大教科文卫委员会、新闻出版局、文广旅游体育局、司法局、市图书馆、市新华书店等多个部门人员及高校教师专业人员组成调研</w:t>
      </w:r>
      <w:r>
        <w:rPr>
          <w:rFonts w:hint="eastAsia" w:ascii="仿宋" w:hAnsi="仿宋" w:eastAsia="仿宋"/>
          <w:color w:val="auto"/>
          <w:sz w:val="32"/>
          <w:szCs w:val="32"/>
        </w:rPr>
        <w:t>组</w:t>
      </w:r>
      <w:r>
        <w:rPr>
          <w:rFonts w:ascii="仿宋" w:hAnsi="仿宋" w:eastAsia="仿宋"/>
          <w:color w:val="auto"/>
          <w:sz w:val="32"/>
          <w:szCs w:val="32"/>
        </w:rPr>
        <w:t>，由揭阳市委宣传部副部长黄宇生带队，到揭阳市下辖的2个市辖区(揭阳榕城区与揭东区)，2个县(惠来县与揭西县)，1个县级市(普宁市)采取实地视察走访、召开座谈会、听取汇报</w:t>
      </w:r>
      <w:r>
        <w:rPr>
          <w:rFonts w:hint="eastAsia" w:ascii="仿宋" w:hAnsi="仿宋" w:eastAsia="仿宋"/>
          <w:color w:val="auto"/>
          <w:sz w:val="32"/>
          <w:szCs w:val="32"/>
        </w:rPr>
        <w:t>。7月12-13日，组织到中山市、江门市学习调研，借鉴兄弟市先进经验</w:t>
      </w:r>
      <w:r>
        <w:rPr>
          <w:rFonts w:hint="eastAsia" w:ascii="仿宋" w:hAnsi="仿宋" w:eastAsia="仿宋"/>
          <w:color w:val="auto"/>
          <w:sz w:val="32"/>
          <w:szCs w:val="32"/>
        </w:rPr>
        <w:t>和做法，实地走访了</w:t>
      </w:r>
      <w:r>
        <w:rPr>
          <w:rFonts w:hint="eastAsia" w:ascii="仿宋" w:hAnsi="仿宋" w:eastAsia="仿宋"/>
          <w:color w:val="auto"/>
          <w:sz w:val="32"/>
          <w:szCs w:val="32"/>
        </w:rPr>
        <w:t>解当地全民阅读促进工作中的实践经验，以及当地立法起草的过程、思路、遇到的主要问题，地方立法执行中的总结反思，以及同行们对揭阳市阅读条例制定的建议等，获取了极具价值的第一手资料。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方正楷体简体" w:hAnsi="方正楷体简体" w:eastAsia="方正楷体简体" w:cs="方正楷体简体"/>
          <w:color w:val="auto"/>
          <w:sz w:val="32"/>
          <w:szCs w:val="32"/>
        </w:rPr>
        <w:t>三是起草及修改条例。</w:t>
      </w:r>
      <w:r>
        <w:rPr>
          <w:rFonts w:hint="eastAsia" w:ascii="仿宋" w:hAnsi="仿宋" w:eastAsia="仿宋"/>
          <w:color w:val="auto"/>
          <w:sz w:val="32"/>
          <w:szCs w:val="32"/>
        </w:rPr>
        <w:t>起草小组采取边调研边起草边修改的工作思路，做到每次调研前有《条例》草案，让被调研单位相关人员就草案相关问题有的放矢地提出建议。每次调研后立法小组针对收集的信息，有针对性地对草案做出修改，之后再进行新的调研。如此反复，前后易稿多个版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三、制定《条例》的主要依据和参考资料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条例》主要依据《中华人民共和国公共文化服务保障法》《中华人民共和国公共图书馆法》《广东省全民阅读促进条例》等法律法规规定；吸收了《全民阅读“十三五”时期发展规划》、文化和旅游部发布的《“十四五”公共文化服务体系建设规划》，文化和旅游部等</w:t>
      </w:r>
      <w:r>
        <w:rPr>
          <w:rFonts w:ascii="仿宋" w:hAnsi="仿宋" w:eastAsia="仿宋"/>
          <w:color w:val="auto"/>
          <w:sz w:val="32"/>
          <w:szCs w:val="32"/>
        </w:rPr>
        <w:t>5部委《关于推进县级文化馆图书馆总分馆制建设的指导意见》，中宣部等11部门《关于支持实体书店发展的指导意见》，中宣部等十部门《农家书屋深化改革创新提升服务效能实施方案》，新闻出版总署等九部委《农家书屋工程建设管理暂行办法》，中华全国总工会《关于开展全国工会“职工书屋”建设的实施意</w:t>
      </w:r>
      <w:r>
        <w:rPr>
          <w:rFonts w:hint="eastAsia" w:ascii="仿宋" w:hAnsi="仿宋" w:eastAsia="仿宋"/>
          <w:color w:val="auto"/>
          <w:sz w:val="32"/>
          <w:szCs w:val="32"/>
        </w:rPr>
        <w:t>见》，市政府印发的《揭阳市国民经济和社会发展第十四个五年规划和</w:t>
      </w:r>
      <w:r>
        <w:rPr>
          <w:rFonts w:ascii="仿宋" w:hAnsi="仿宋" w:eastAsia="仿宋"/>
          <w:color w:val="auto"/>
          <w:sz w:val="32"/>
          <w:szCs w:val="32"/>
        </w:rPr>
        <w:t>2035年</w:t>
      </w:r>
      <w:r>
        <w:rPr>
          <w:rFonts w:hint="eastAsia" w:ascii="仿宋" w:hAnsi="仿宋" w:eastAsia="仿宋"/>
          <w:color w:val="auto"/>
          <w:sz w:val="32"/>
          <w:szCs w:val="32"/>
        </w:rPr>
        <w:t>远景目标纲要》</w:t>
      </w:r>
      <w:r>
        <w:rPr>
          <w:rFonts w:ascii="仿宋" w:hAnsi="仿宋" w:eastAsia="仿宋"/>
          <w:color w:val="auto"/>
          <w:sz w:val="32"/>
          <w:szCs w:val="32"/>
        </w:rPr>
        <w:t>等</w:t>
      </w:r>
      <w:r>
        <w:rPr>
          <w:rFonts w:hint="eastAsia" w:ascii="仿宋" w:hAnsi="仿宋" w:eastAsia="仿宋"/>
          <w:color w:val="auto"/>
          <w:sz w:val="32"/>
          <w:szCs w:val="32"/>
        </w:rPr>
        <w:t>政策文件中有关</w:t>
      </w:r>
      <w:r>
        <w:rPr>
          <w:rFonts w:ascii="仿宋" w:hAnsi="仿宋" w:eastAsia="仿宋"/>
          <w:color w:val="auto"/>
          <w:sz w:val="32"/>
          <w:szCs w:val="32"/>
        </w:rPr>
        <w:t>公共文化服务、公共文化设施建设的相关</w:t>
      </w:r>
      <w:r>
        <w:rPr>
          <w:rFonts w:hint="eastAsia" w:ascii="仿宋" w:hAnsi="仿宋" w:eastAsia="仿宋"/>
          <w:color w:val="auto"/>
          <w:sz w:val="32"/>
          <w:szCs w:val="32"/>
        </w:rPr>
        <w:t>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《条例》</w:t>
      </w:r>
      <w:r>
        <w:rPr>
          <w:rFonts w:ascii="仿宋" w:hAnsi="仿宋" w:eastAsia="仿宋"/>
          <w:color w:val="auto"/>
          <w:sz w:val="32"/>
          <w:szCs w:val="32"/>
        </w:rPr>
        <w:t>借鉴了</w:t>
      </w:r>
      <w:r>
        <w:rPr>
          <w:rFonts w:hint="eastAsia" w:ascii="仿宋" w:hAnsi="仿宋" w:eastAsia="仿宋"/>
          <w:color w:val="auto"/>
          <w:sz w:val="32"/>
          <w:szCs w:val="32"/>
        </w:rPr>
        <w:t>《山西省全民阅读促进条例》《宁夏回族自治区全民阅读促进条例》《贵州省全民阅读促进条例》《吉林省全民阅读促进条例》《温州市全民阅读促进条例》《宁波市全民阅读促进条例》《河南省人民代表大会常务委员会关于促进全民阅读的决定》等其他省市有关促进全民阅读立法的有关内容；固化了“书香揭阳”建设中的创新实践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四、《条例》的主要内容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《条例》全文共</w:t>
      </w:r>
      <w:r>
        <w:rPr>
          <w:rFonts w:ascii="仿宋" w:hAnsi="仿宋" w:eastAsia="仿宋"/>
          <w:color w:val="auto"/>
          <w:sz w:val="32"/>
          <w:szCs w:val="32"/>
        </w:rPr>
        <w:t>38条，包括总则、</w:t>
      </w:r>
      <w:r>
        <w:rPr>
          <w:rFonts w:hint="eastAsia" w:ascii="仿宋" w:hAnsi="仿宋" w:eastAsia="仿宋"/>
          <w:color w:val="auto"/>
          <w:sz w:val="32"/>
          <w:szCs w:val="32"/>
        </w:rPr>
        <w:t>全民阅读</w:t>
      </w:r>
      <w:r>
        <w:rPr>
          <w:rFonts w:ascii="仿宋" w:hAnsi="仿宋" w:eastAsia="仿宋"/>
          <w:color w:val="auto"/>
          <w:sz w:val="32"/>
          <w:szCs w:val="32"/>
        </w:rPr>
        <w:t>设施、</w:t>
      </w:r>
      <w:r>
        <w:rPr>
          <w:rFonts w:hint="eastAsia" w:ascii="仿宋" w:hAnsi="仿宋" w:eastAsia="仿宋"/>
          <w:color w:val="auto"/>
          <w:sz w:val="32"/>
          <w:szCs w:val="32"/>
        </w:rPr>
        <w:t>全民</w:t>
      </w:r>
      <w:r>
        <w:rPr>
          <w:rFonts w:ascii="仿宋" w:hAnsi="仿宋" w:eastAsia="仿宋"/>
          <w:color w:val="auto"/>
          <w:sz w:val="32"/>
          <w:szCs w:val="32"/>
        </w:rPr>
        <w:t>阅读推广</w:t>
      </w:r>
      <w:r>
        <w:rPr>
          <w:rFonts w:hint="eastAsia" w:ascii="仿宋" w:hAnsi="仿宋" w:eastAsia="仿宋"/>
          <w:color w:val="auto"/>
          <w:sz w:val="32"/>
          <w:szCs w:val="32"/>
        </w:rPr>
        <w:t>服务</w:t>
      </w:r>
      <w:r>
        <w:rPr>
          <w:rFonts w:ascii="仿宋" w:hAnsi="仿宋" w:eastAsia="仿宋"/>
          <w:color w:val="auto"/>
          <w:sz w:val="32"/>
          <w:szCs w:val="32"/>
        </w:rPr>
        <w:t>、</w:t>
      </w:r>
      <w:r>
        <w:rPr>
          <w:rFonts w:hint="eastAsia" w:ascii="仿宋" w:hAnsi="仿宋" w:eastAsia="仿宋"/>
          <w:color w:val="auto"/>
          <w:sz w:val="32"/>
          <w:szCs w:val="32"/>
        </w:rPr>
        <w:t>全民</w:t>
      </w:r>
      <w:r>
        <w:rPr>
          <w:rFonts w:ascii="仿宋" w:hAnsi="仿宋" w:eastAsia="仿宋"/>
          <w:color w:val="auto"/>
          <w:sz w:val="32"/>
          <w:szCs w:val="32"/>
        </w:rPr>
        <w:t>阅读保障、法律责任、附则等6章。《条例》坚持问题导向，重点关注</w:t>
      </w:r>
      <w:r>
        <w:rPr>
          <w:rFonts w:hint="eastAsia" w:ascii="仿宋" w:hAnsi="仿宋" w:eastAsia="仿宋"/>
          <w:color w:val="auto"/>
          <w:sz w:val="32"/>
          <w:szCs w:val="32"/>
        </w:rPr>
        <w:t>体制</w:t>
      </w:r>
      <w:r>
        <w:rPr>
          <w:rFonts w:ascii="仿宋" w:hAnsi="仿宋" w:eastAsia="仿宋"/>
          <w:color w:val="auto"/>
          <w:sz w:val="32"/>
          <w:szCs w:val="32"/>
        </w:rPr>
        <w:t>机制</w:t>
      </w:r>
      <w:r>
        <w:rPr>
          <w:rFonts w:hint="eastAsia" w:ascii="仿宋" w:hAnsi="仿宋" w:eastAsia="仿宋"/>
          <w:color w:val="auto"/>
          <w:sz w:val="32"/>
          <w:szCs w:val="32"/>
        </w:rPr>
        <w:t>理顺与各主体的职权（权利）义务配置，</w:t>
      </w:r>
      <w:r>
        <w:rPr>
          <w:rFonts w:ascii="仿宋" w:hAnsi="仿宋" w:eastAsia="仿宋"/>
          <w:color w:val="auto"/>
          <w:sz w:val="32"/>
          <w:szCs w:val="32"/>
        </w:rPr>
        <w:t>以有效发挥政府主导作用、培养阅读习惯以营造阅读氛围、促进阅读资源流通以提升有效阅读、创新阅读服务以方便市民阅读、加强基层阅读网点建设以促进阅读公平等几方面的问题。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ascii="仿宋" w:hAnsi="仿宋" w:eastAsia="仿宋"/>
          <w:b/>
          <w:bCs/>
          <w:color w:val="auto"/>
          <w:sz w:val="32"/>
          <w:szCs w:val="32"/>
        </w:rPr>
        <w:t>第一章</w:t>
      </w:r>
      <w:r>
        <w:rPr>
          <w:rFonts w:ascii="仿宋" w:hAnsi="仿宋" w:eastAsia="仿宋"/>
          <w:color w:val="auto"/>
          <w:sz w:val="32"/>
          <w:szCs w:val="32"/>
        </w:rPr>
        <w:t>为总则，共7条。强调了制定该条例的目的、适用范围，明确全民阅读促进工作的基本原则、</w:t>
      </w:r>
      <w:r>
        <w:rPr>
          <w:rFonts w:hint="eastAsia" w:ascii="仿宋" w:hAnsi="仿宋" w:eastAsia="仿宋"/>
          <w:color w:val="auto"/>
          <w:sz w:val="32"/>
          <w:szCs w:val="32"/>
        </w:rPr>
        <w:t>政府职责与</w:t>
      </w:r>
      <w:r>
        <w:rPr>
          <w:rFonts w:ascii="仿宋" w:hAnsi="仿宋" w:eastAsia="仿宋"/>
          <w:color w:val="auto"/>
          <w:sz w:val="32"/>
          <w:szCs w:val="32"/>
        </w:rPr>
        <w:t>协调</w:t>
      </w:r>
      <w:r>
        <w:rPr>
          <w:rFonts w:hint="eastAsia" w:ascii="仿宋" w:hAnsi="仿宋" w:eastAsia="仿宋"/>
          <w:color w:val="auto"/>
          <w:sz w:val="32"/>
          <w:szCs w:val="32"/>
        </w:rPr>
        <w:t>机制、</w:t>
      </w:r>
      <w:r>
        <w:rPr>
          <w:rFonts w:ascii="仿宋" w:hAnsi="仿宋" w:eastAsia="仿宋"/>
          <w:color w:val="auto"/>
          <w:sz w:val="32"/>
          <w:szCs w:val="32"/>
        </w:rPr>
        <w:t>各级各部门各单位的基本职责</w:t>
      </w:r>
      <w:r>
        <w:rPr>
          <w:rFonts w:hint="eastAsia" w:ascii="仿宋" w:hAnsi="仿宋" w:eastAsia="仿宋"/>
          <w:color w:val="auto"/>
          <w:sz w:val="32"/>
          <w:szCs w:val="32"/>
        </w:rPr>
        <w:t>与社会参与</w:t>
      </w:r>
      <w:r>
        <w:rPr>
          <w:rFonts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第二章</w:t>
      </w:r>
      <w:r>
        <w:rPr>
          <w:rFonts w:hint="eastAsia" w:ascii="仿宋" w:hAnsi="仿宋" w:eastAsia="仿宋"/>
          <w:color w:val="auto"/>
          <w:sz w:val="32"/>
          <w:szCs w:val="32"/>
        </w:rPr>
        <w:t>为全民阅读设施建设，共</w:t>
      </w:r>
      <w:r>
        <w:rPr>
          <w:rFonts w:ascii="仿宋" w:hAnsi="仿宋" w:eastAsia="仿宋"/>
          <w:color w:val="auto"/>
          <w:sz w:val="32"/>
          <w:szCs w:val="32"/>
        </w:rPr>
        <w:t>7条</w:t>
      </w:r>
      <w:r>
        <w:rPr>
          <w:rFonts w:hint="eastAsia" w:ascii="仿宋" w:hAnsi="仿宋" w:eastAsia="仿宋"/>
          <w:color w:val="auto"/>
          <w:sz w:val="32"/>
          <w:szCs w:val="32"/>
        </w:rPr>
        <w:t>，在规定全民阅读设施建设总体要求的基础上，</w:t>
      </w:r>
      <w:r>
        <w:rPr>
          <w:rFonts w:ascii="仿宋" w:hAnsi="仿宋" w:eastAsia="仿宋"/>
          <w:color w:val="auto"/>
          <w:sz w:val="32"/>
          <w:szCs w:val="32"/>
        </w:rPr>
        <w:t>着重规范了四类阅读设施的建设要求，即：公共图书馆、实体书店、城市书房、农家书屋、社区阅览室、</w:t>
      </w:r>
      <w:r>
        <w:rPr>
          <w:rFonts w:hint="eastAsia" w:ascii="仿宋" w:hAnsi="仿宋" w:eastAsia="仿宋"/>
          <w:color w:val="auto"/>
          <w:sz w:val="32"/>
          <w:szCs w:val="32"/>
        </w:rPr>
        <w:t>全民阅读空间建设、</w:t>
      </w:r>
      <w:r>
        <w:rPr>
          <w:rFonts w:ascii="仿宋" w:hAnsi="仿宋" w:eastAsia="仿宋"/>
          <w:color w:val="auto"/>
          <w:sz w:val="32"/>
          <w:szCs w:val="32"/>
        </w:rPr>
        <w:t>职工</w:t>
      </w:r>
      <w:r>
        <w:rPr>
          <w:rFonts w:hint="eastAsia" w:ascii="仿宋" w:hAnsi="仿宋" w:eastAsia="仿宋"/>
          <w:color w:val="auto"/>
          <w:sz w:val="32"/>
          <w:szCs w:val="32"/>
        </w:rPr>
        <w:t>/业主</w:t>
      </w:r>
      <w:r>
        <w:rPr>
          <w:rFonts w:ascii="仿宋" w:hAnsi="仿宋" w:eastAsia="仿宋"/>
          <w:color w:val="auto"/>
          <w:sz w:val="32"/>
          <w:szCs w:val="32"/>
        </w:rPr>
        <w:t>书屋等实体阅读设施</w:t>
      </w:r>
      <w:r>
        <w:rPr>
          <w:rFonts w:hint="eastAsia" w:ascii="仿宋" w:hAnsi="仿宋" w:eastAsia="仿宋"/>
          <w:color w:val="auto"/>
          <w:sz w:val="32"/>
          <w:szCs w:val="32"/>
        </w:rPr>
        <w:t>以及</w:t>
      </w:r>
      <w:r>
        <w:rPr>
          <w:rFonts w:ascii="仿宋" w:hAnsi="仿宋" w:eastAsia="仿宋"/>
          <w:color w:val="auto"/>
          <w:sz w:val="32"/>
          <w:szCs w:val="32"/>
        </w:rPr>
        <w:t>数字阅读设施。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第三章</w:t>
      </w:r>
      <w:r>
        <w:rPr>
          <w:rFonts w:hint="eastAsia" w:ascii="仿宋" w:hAnsi="仿宋" w:eastAsia="仿宋"/>
          <w:color w:val="auto"/>
          <w:sz w:val="32"/>
          <w:szCs w:val="32"/>
        </w:rPr>
        <w:t>是全民阅读推广服务，共</w:t>
      </w:r>
      <w:r>
        <w:rPr>
          <w:rFonts w:ascii="仿宋" w:hAnsi="仿宋" w:eastAsia="仿宋"/>
          <w:color w:val="auto"/>
          <w:sz w:val="32"/>
          <w:szCs w:val="32"/>
        </w:rPr>
        <w:t>12条。对</w:t>
      </w:r>
      <w:r>
        <w:rPr>
          <w:rFonts w:hint="eastAsia" w:ascii="仿宋" w:hAnsi="仿宋" w:eastAsia="仿宋"/>
          <w:color w:val="auto"/>
          <w:sz w:val="32"/>
          <w:szCs w:val="32"/>
        </w:rPr>
        <w:t>揭阳</w:t>
      </w:r>
      <w:r>
        <w:rPr>
          <w:rFonts w:ascii="仿宋" w:hAnsi="仿宋" w:eastAsia="仿宋"/>
          <w:color w:val="auto"/>
          <w:sz w:val="32"/>
          <w:szCs w:val="32"/>
        </w:rPr>
        <w:t>重大节庆期间的全民阅读活动做了总体要求</w:t>
      </w:r>
      <w:r>
        <w:rPr>
          <w:rFonts w:hint="eastAsia" w:ascii="仿宋" w:hAnsi="仿宋" w:eastAsia="仿宋"/>
          <w:color w:val="auto"/>
          <w:sz w:val="32"/>
          <w:szCs w:val="32"/>
        </w:rPr>
        <w:t>，</w:t>
      </w:r>
      <w:r>
        <w:rPr>
          <w:rFonts w:ascii="仿宋" w:hAnsi="仿宋" w:eastAsia="仿宋"/>
          <w:color w:val="auto"/>
          <w:sz w:val="32"/>
          <w:szCs w:val="32"/>
        </w:rPr>
        <w:t>规定了政府</w:t>
      </w:r>
      <w:r>
        <w:rPr>
          <w:rFonts w:hint="eastAsia" w:ascii="仿宋" w:hAnsi="仿宋" w:eastAsia="仿宋"/>
          <w:color w:val="auto"/>
          <w:sz w:val="32"/>
          <w:szCs w:val="32"/>
        </w:rPr>
        <w:t>相关部门</w:t>
      </w:r>
      <w:r>
        <w:rPr>
          <w:rFonts w:ascii="仿宋" w:hAnsi="仿宋" w:eastAsia="仿宋"/>
          <w:color w:val="auto"/>
          <w:sz w:val="32"/>
          <w:szCs w:val="32"/>
        </w:rPr>
        <w:t>在书目推荐、阅读志</w:t>
      </w:r>
      <w:r>
        <w:rPr>
          <w:rFonts w:ascii="仿宋" w:hAnsi="仿宋" w:eastAsia="仿宋"/>
          <w:color w:val="auto"/>
          <w:sz w:val="32"/>
          <w:szCs w:val="32"/>
        </w:rPr>
        <w:t>愿者</w:t>
      </w:r>
      <w:r>
        <w:rPr>
          <w:rFonts w:hint="eastAsia" w:ascii="仿宋" w:hAnsi="仿宋" w:eastAsia="仿宋"/>
          <w:color w:val="auto"/>
          <w:sz w:val="32"/>
          <w:szCs w:val="32"/>
        </w:rPr>
        <w:t>服务</w:t>
      </w:r>
      <w:r>
        <w:rPr>
          <w:rFonts w:ascii="仿宋" w:hAnsi="仿宋" w:eastAsia="仿宋"/>
          <w:color w:val="auto"/>
          <w:sz w:val="32"/>
          <w:szCs w:val="32"/>
        </w:rPr>
        <w:t>等方面</w:t>
      </w:r>
      <w:r>
        <w:rPr>
          <w:rFonts w:ascii="仿宋" w:hAnsi="仿宋" w:eastAsia="仿宋"/>
          <w:color w:val="auto"/>
          <w:sz w:val="32"/>
          <w:szCs w:val="32"/>
        </w:rPr>
        <w:t>的职责，公共图书馆、实体书店、基层书屋等在全民阅读推广中的职能和作用发挥</w:t>
      </w:r>
      <w:r>
        <w:rPr>
          <w:rFonts w:hint="eastAsia" w:ascii="仿宋" w:hAnsi="仿宋" w:eastAsia="仿宋"/>
          <w:color w:val="auto"/>
          <w:sz w:val="32"/>
          <w:szCs w:val="32"/>
        </w:rPr>
        <w:t>，</w:t>
      </w:r>
      <w:r>
        <w:rPr>
          <w:rFonts w:hint="eastAsia" w:ascii="仿宋" w:hAnsi="仿宋" w:eastAsia="仿宋"/>
          <w:color w:val="auto"/>
          <w:sz w:val="32"/>
          <w:szCs w:val="32"/>
        </w:rPr>
        <w:t>为未成年人、特殊群体提供的阅读推广服务，以及规定促进家庭、机关、社区、乡村阅读</w:t>
      </w:r>
      <w:r>
        <w:rPr>
          <w:rFonts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第四章</w:t>
      </w:r>
      <w:r>
        <w:rPr>
          <w:rFonts w:hint="eastAsia" w:ascii="仿宋" w:hAnsi="仿宋" w:eastAsia="仿宋"/>
          <w:color w:val="auto"/>
          <w:sz w:val="32"/>
          <w:szCs w:val="32"/>
        </w:rPr>
        <w:t>是全民阅读保障，共</w:t>
      </w:r>
      <w:r>
        <w:rPr>
          <w:rFonts w:ascii="仿宋" w:hAnsi="仿宋" w:eastAsia="仿宋"/>
          <w:color w:val="auto"/>
          <w:sz w:val="32"/>
          <w:szCs w:val="32"/>
        </w:rPr>
        <w:t>7条。主要规范了政府</w:t>
      </w:r>
      <w:r>
        <w:rPr>
          <w:rFonts w:hint="eastAsia" w:ascii="仿宋" w:hAnsi="仿宋" w:eastAsia="仿宋"/>
          <w:color w:val="auto"/>
          <w:sz w:val="32"/>
          <w:szCs w:val="32"/>
        </w:rPr>
        <w:t>及其职能部门</w:t>
      </w:r>
      <w:r>
        <w:rPr>
          <w:rFonts w:ascii="仿宋" w:hAnsi="仿宋" w:eastAsia="仿宋"/>
          <w:color w:val="auto"/>
          <w:sz w:val="32"/>
          <w:szCs w:val="32"/>
        </w:rPr>
        <w:t>在阅读促进工作中的保障责任</w:t>
      </w:r>
      <w:r>
        <w:rPr>
          <w:rFonts w:hint="eastAsia" w:ascii="仿宋" w:hAnsi="仿宋" w:eastAsia="仿宋"/>
          <w:color w:val="auto"/>
          <w:sz w:val="32"/>
          <w:szCs w:val="32"/>
        </w:rPr>
        <w:t>，</w:t>
      </w:r>
      <w:r>
        <w:rPr>
          <w:rFonts w:ascii="仿宋" w:hAnsi="仿宋" w:eastAsia="仿宋"/>
          <w:color w:val="auto"/>
          <w:sz w:val="32"/>
          <w:szCs w:val="32"/>
        </w:rPr>
        <w:t>从</w:t>
      </w:r>
      <w:r>
        <w:rPr>
          <w:rFonts w:hint="eastAsia" w:ascii="仿宋" w:hAnsi="仿宋" w:eastAsia="仿宋"/>
          <w:color w:val="auto"/>
          <w:sz w:val="32"/>
          <w:szCs w:val="32"/>
        </w:rPr>
        <w:t>阅读设施与服务平台、</w:t>
      </w:r>
      <w:r>
        <w:rPr>
          <w:rFonts w:ascii="仿宋" w:hAnsi="仿宋" w:eastAsia="仿宋"/>
          <w:color w:val="auto"/>
          <w:sz w:val="32"/>
          <w:szCs w:val="32"/>
        </w:rPr>
        <w:t>基金、</w:t>
      </w:r>
      <w:r>
        <w:rPr>
          <w:rFonts w:hint="eastAsia" w:ascii="仿宋" w:hAnsi="仿宋" w:eastAsia="仿宋"/>
          <w:color w:val="auto"/>
          <w:sz w:val="32"/>
          <w:szCs w:val="32"/>
        </w:rPr>
        <w:t>政府采购与优质阅读资源下沉、全民阅读资金补助</w:t>
      </w:r>
      <w:r>
        <w:rPr>
          <w:rFonts w:ascii="仿宋" w:hAnsi="仿宋" w:eastAsia="仿宋"/>
          <w:color w:val="auto"/>
          <w:sz w:val="32"/>
          <w:szCs w:val="32"/>
        </w:rPr>
        <w:t>等方面正向保障，以及</w:t>
      </w:r>
      <w:r>
        <w:rPr>
          <w:rFonts w:hint="eastAsia" w:ascii="仿宋" w:hAnsi="仿宋" w:eastAsia="仿宋"/>
          <w:color w:val="auto"/>
          <w:sz w:val="32"/>
          <w:szCs w:val="32"/>
        </w:rPr>
        <w:t>全民阅读公共设施保护与单位责任、阅读资源与信息监管、监督与奖励</w:t>
      </w:r>
      <w:r>
        <w:rPr>
          <w:rFonts w:ascii="仿宋" w:hAnsi="仿宋" w:eastAsia="仿宋"/>
          <w:color w:val="auto"/>
          <w:sz w:val="32"/>
          <w:szCs w:val="32"/>
        </w:rPr>
        <w:t>等方面反向禁止做出规定。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第五章</w:t>
      </w:r>
      <w:r>
        <w:rPr>
          <w:rFonts w:hint="eastAsia" w:ascii="仿宋" w:hAnsi="仿宋" w:eastAsia="仿宋"/>
          <w:color w:val="auto"/>
          <w:sz w:val="32"/>
          <w:szCs w:val="32"/>
        </w:rPr>
        <w:t>为法律责任，共</w:t>
      </w:r>
      <w:r>
        <w:rPr>
          <w:rFonts w:ascii="仿宋" w:hAnsi="仿宋" w:eastAsia="仿宋"/>
          <w:color w:val="auto"/>
          <w:sz w:val="32"/>
          <w:szCs w:val="32"/>
        </w:rPr>
        <w:t>3条。本部分借鉴了大多数地方立法以及</w:t>
      </w:r>
      <w:r>
        <w:rPr>
          <w:rFonts w:hint="eastAsia" w:ascii="仿宋" w:hAnsi="仿宋" w:eastAsia="仿宋"/>
          <w:color w:val="auto"/>
          <w:sz w:val="32"/>
          <w:szCs w:val="32"/>
        </w:rPr>
        <w:t>国务院</w:t>
      </w:r>
      <w:r>
        <w:rPr>
          <w:rFonts w:ascii="仿宋" w:hAnsi="仿宋" w:eastAsia="仿宋"/>
          <w:color w:val="auto"/>
          <w:sz w:val="32"/>
          <w:szCs w:val="32"/>
        </w:rPr>
        <w:t>《全民阅读促进条例（草案）》的通行做法，重点规定了政府工作人员侵害阅读资金或设施、公共阅读设施管理</w:t>
      </w:r>
      <w:r>
        <w:rPr>
          <w:rFonts w:hint="eastAsia" w:ascii="仿宋" w:hAnsi="仿宋" w:eastAsia="仿宋"/>
          <w:color w:val="auto"/>
          <w:sz w:val="32"/>
          <w:szCs w:val="32"/>
        </w:rPr>
        <w:t>单位</w:t>
      </w:r>
      <w:r>
        <w:rPr>
          <w:rFonts w:ascii="仿宋" w:hAnsi="仿宋" w:eastAsia="仿宋"/>
          <w:color w:val="auto"/>
          <w:sz w:val="32"/>
          <w:szCs w:val="32"/>
        </w:rPr>
        <w:t>未按规定提供阅读服务的责任</w:t>
      </w:r>
      <w:r>
        <w:rPr>
          <w:rFonts w:hint="eastAsia" w:ascii="仿宋" w:hAnsi="仿宋" w:eastAsia="仿宋"/>
          <w:color w:val="auto"/>
          <w:sz w:val="32"/>
          <w:szCs w:val="32"/>
        </w:rPr>
        <w:t>。</w:t>
      </w:r>
      <w:r>
        <w:rPr>
          <w:rFonts w:ascii="仿宋" w:hAnsi="仿宋" w:eastAsia="仿宋"/>
          <w:color w:val="auto"/>
          <w:sz w:val="32"/>
          <w:szCs w:val="32"/>
        </w:rPr>
        <w:t>同时</w:t>
      </w:r>
      <w:r>
        <w:rPr>
          <w:rFonts w:hint="eastAsia" w:ascii="仿宋" w:hAnsi="仿宋" w:eastAsia="仿宋"/>
          <w:color w:val="auto"/>
          <w:sz w:val="32"/>
          <w:szCs w:val="32"/>
        </w:rPr>
        <w:t>，</w:t>
      </w:r>
      <w:r>
        <w:rPr>
          <w:rFonts w:ascii="仿宋" w:hAnsi="仿宋" w:eastAsia="仿宋"/>
          <w:color w:val="auto"/>
          <w:sz w:val="32"/>
          <w:szCs w:val="32"/>
        </w:rPr>
        <w:t>根据国家对净化阅读空间，打击传播非法阅读资源和保护公民个人信息</w:t>
      </w:r>
      <w:r>
        <w:rPr>
          <w:rFonts w:hint="eastAsia" w:ascii="仿宋" w:hAnsi="仿宋" w:eastAsia="仿宋"/>
          <w:color w:val="auto"/>
          <w:sz w:val="32"/>
          <w:szCs w:val="32"/>
        </w:rPr>
        <w:t>的要求</w:t>
      </w:r>
      <w:r>
        <w:rPr>
          <w:rFonts w:ascii="仿宋" w:hAnsi="仿宋" w:eastAsia="仿宋"/>
          <w:color w:val="auto"/>
          <w:sz w:val="32"/>
          <w:szCs w:val="32"/>
        </w:rPr>
        <w:t>，对传播非法阅读资源、侵害个人信息的法律责任依据有关法律做了进一步强调。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第六章</w:t>
      </w:r>
      <w:r>
        <w:rPr>
          <w:rFonts w:hint="eastAsia" w:ascii="仿宋" w:hAnsi="仿宋" w:eastAsia="仿宋"/>
          <w:color w:val="auto"/>
          <w:sz w:val="32"/>
          <w:szCs w:val="32"/>
        </w:rPr>
        <w:t>为附则，共</w:t>
      </w:r>
      <w:r>
        <w:rPr>
          <w:rFonts w:ascii="仿宋" w:hAnsi="仿宋" w:eastAsia="仿宋"/>
          <w:color w:val="auto"/>
          <w:sz w:val="32"/>
          <w:szCs w:val="32"/>
        </w:rPr>
        <w:t>2条，明确了</w:t>
      </w:r>
      <w:r>
        <w:rPr>
          <w:rFonts w:hint="eastAsia" w:ascii="仿宋" w:hAnsi="仿宋" w:eastAsia="仿宋"/>
          <w:color w:val="auto"/>
          <w:sz w:val="32"/>
          <w:szCs w:val="32"/>
        </w:rPr>
        <w:t>全民阅读设施范围，规定了</w:t>
      </w:r>
      <w:r>
        <w:rPr>
          <w:rFonts w:ascii="仿宋" w:hAnsi="仿宋" w:eastAsia="仿宋"/>
          <w:color w:val="auto"/>
          <w:sz w:val="32"/>
          <w:szCs w:val="32"/>
        </w:rPr>
        <w:t>条例的施行日期。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rPr>
      </w:pPr>
    </w:p>
    <w:bookmarkEnd w:id="0"/>
    <w:sectPr>
      <w:footerReference r:id="rId3" w:type="default"/>
      <w:pgSz w:w="11906" w:h="16838"/>
      <w:pgMar w:top="2211" w:right="1531" w:bottom="1871" w:left="1531"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光标题宋_CNKI">
    <w:altName w:val="宋体"/>
    <w:panose1 w:val="020005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NEU-BZ-S92">
    <w:altName w:val="宋体"/>
    <w:panose1 w:val="02020503000000020003"/>
    <w:charset w:val="86"/>
    <w:family w:val="auto"/>
    <w:pitch w:val="default"/>
    <w:sig w:usb0="00000000" w:usb1="00000000" w:usb2="05000016" w:usb3="00000000" w:csb0="003E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NEU-BZ-S92" w:hAnsi="NEU-BZ-S92" w:eastAsia="NEU-BZ-S92" w:cs="NEU-BZ-S92"/>
                              <w:sz w:val="28"/>
                              <w:szCs w:val="28"/>
                              <w:lang w:eastAsia="zh-CN"/>
                            </w:rPr>
                          </w:pPr>
                          <w:r>
                            <w:rPr>
                              <w:rFonts w:hint="eastAsia" w:ascii="NEU-BZ-S92" w:hAnsi="NEU-BZ-S92" w:eastAsia="NEU-BZ-S92" w:cs="NEU-BZ-S92"/>
                              <w:sz w:val="28"/>
                              <w:szCs w:val="28"/>
                              <w:lang w:eastAsia="zh-CN"/>
                            </w:rPr>
                            <w:fldChar w:fldCharType="begin"/>
                          </w:r>
                          <w:r>
                            <w:rPr>
                              <w:rFonts w:hint="eastAsia" w:ascii="NEU-BZ-S92" w:hAnsi="NEU-BZ-S92" w:eastAsia="NEU-BZ-S92" w:cs="NEU-BZ-S92"/>
                              <w:sz w:val="28"/>
                              <w:szCs w:val="28"/>
                              <w:lang w:eastAsia="zh-CN"/>
                            </w:rPr>
                            <w:instrText xml:space="preserve"> PAGE  \* MERGEFORMAT </w:instrText>
                          </w:r>
                          <w:r>
                            <w:rPr>
                              <w:rFonts w:hint="eastAsia" w:ascii="NEU-BZ-S92" w:hAnsi="NEU-BZ-S92" w:eastAsia="NEU-BZ-S92" w:cs="NEU-BZ-S92"/>
                              <w:sz w:val="28"/>
                              <w:szCs w:val="28"/>
                              <w:lang w:eastAsia="zh-CN"/>
                            </w:rPr>
                            <w:fldChar w:fldCharType="separate"/>
                          </w:r>
                          <w:r>
                            <w:rPr>
                              <w:rFonts w:hint="eastAsia" w:ascii="NEU-BZ-S92" w:hAnsi="NEU-BZ-S92" w:eastAsia="NEU-BZ-S92" w:cs="NEU-BZ-S92"/>
                              <w:sz w:val="28"/>
                              <w:szCs w:val="28"/>
                              <w:lang w:eastAsia="zh-CN"/>
                            </w:rPr>
                            <w:t>1</w:t>
                          </w:r>
                          <w:r>
                            <w:rPr>
                              <w:rFonts w:hint="eastAsia" w:ascii="NEU-BZ-S92" w:hAnsi="NEU-BZ-S92" w:eastAsia="NEU-BZ-S92" w:cs="NEU-BZ-S9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NEU-BZ-S92" w:hAnsi="NEU-BZ-S92" w:eastAsia="NEU-BZ-S92" w:cs="NEU-BZ-S92"/>
                        <w:sz w:val="28"/>
                        <w:szCs w:val="28"/>
                        <w:lang w:eastAsia="zh-CN"/>
                      </w:rPr>
                    </w:pPr>
                    <w:r>
                      <w:rPr>
                        <w:rFonts w:hint="eastAsia" w:ascii="NEU-BZ-S92" w:hAnsi="NEU-BZ-S92" w:eastAsia="NEU-BZ-S92" w:cs="NEU-BZ-S92"/>
                        <w:sz w:val="28"/>
                        <w:szCs w:val="28"/>
                        <w:lang w:eastAsia="zh-CN"/>
                      </w:rPr>
                      <w:fldChar w:fldCharType="begin"/>
                    </w:r>
                    <w:r>
                      <w:rPr>
                        <w:rFonts w:hint="eastAsia" w:ascii="NEU-BZ-S92" w:hAnsi="NEU-BZ-S92" w:eastAsia="NEU-BZ-S92" w:cs="NEU-BZ-S92"/>
                        <w:sz w:val="28"/>
                        <w:szCs w:val="28"/>
                        <w:lang w:eastAsia="zh-CN"/>
                      </w:rPr>
                      <w:instrText xml:space="preserve"> PAGE  \* MERGEFORMAT </w:instrText>
                    </w:r>
                    <w:r>
                      <w:rPr>
                        <w:rFonts w:hint="eastAsia" w:ascii="NEU-BZ-S92" w:hAnsi="NEU-BZ-S92" w:eastAsia="NEU-BZ-S92" w:cs="NEU-BZ-S92"/>
                        <w:sz w:val="28"/>
                        <w:szCs w:val="28"/>
                        <w:lang w:eastAsia="zh-CN"/>
                      </w:rPr>
                      <w:fldChar w:fldCharType="separate"/>
                    </w:r>
                    <w:r>
                      <w:rPr>
                        <w:rFonts w:hint="eastAsia" w:ascii="NEU-BZ-S92" w:hAnsi="NEU-BZ-S92" w:eastAsia="NEU-BZ-S92" w:cs="NEU-BZ-S92"/>
                        <w:sz w:val="28"/>
                        <w:szCs w:val="28"/>
                        <w:lang w:eastAsia="zh-CN"/>
                      </w:rPr>
                      <w:t>1</w:t>
                    </w:r>
                    <w:r>
                      <w:rPr>
                        <w:rFonts w:hint="eastAsia" w:ascii="NEU-BZ-S92" w:hAnsi="NEU-BZ-S92" w:eastAsia="NEU-BZ-S92" w:cs="NEU-BZ-S9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AF"/>
    <w:rsid w:val="00032DD2"/>
    <w:rsid w:val="0007741F"/>
    <w:rsid w:val="000D5E56"/>
    <w:rsid w:val="000E7F90"/>
    <w:rsid w:val="001612EC"/>
    <w:rsid w:val="001A2177"/>
    <w:rsid w:val="00217271"/>
    <w:rsid w:val="002C519F"/>
    <w:rsid w:val="002E19D1"/>
    <w:rsid w:val="003202ED"/>
    <w:rsid w:val="003216F2"/>
    <w:rsid w:val="00325D3D"/>
    <w:rsid w:val="00343888"/>
    <w:rsid w:val="00354DC3"/>
    <w:rsid w:val="00363E12"/>
    <w:rsid w:val="00384D3B"/>
    <w:rsid w:val="003B66AC"/>
    <w:rsid w:val="003D1133"/>
    <w:rsid w:val="003F19D2"/>
    <w:rsid w:val="003F517D"/>
    <w:rsid w:val="00411EA3"/>
    <w:rsid w:val="00423CC3"/>
    <w:rsid w:val="004602B3"/>
    <w:rsid w:val="00490A0D"/>
    <w:rsid w:val="004D2BFF"/>
    <w:rsid w:val="00535139"/>
    <w:rsid w:val="00551C8A"/>
    <w:rsid w:val="00552AFA"/>
    <w:rsid w:val="005569BC"/>
    <w:rsid w:val="005B2FEE"/>
    <w:rsid w:val="005F7C27"/>
    <w:rsid w:val="00620228"/>
    <w:rsid w:val="00623105"/>
    <w:rsid w:val="00684D42"/>
    <w:rsid w:val="00691CBE"/>
    <w:rsid w:val="00694926"/>
    <w:rsid w:val="006A59C8"/>
    <w:rsid w:val="006B29C1"/>
    <w:rsid w:val="00721206"/>
    <w:rsid w:val="00724991"/>
    <w:rsid w:val="007A1C29"/>
    <w:rsid w:val="007F18AF"/>
    <w:rsid w:val="008232C2"/>
    <w:rsid w:val="00830BE5"/>
    <w:rsid w:val="00852BFD"/>
    <w:rsid w:val="0086369F"/>
    <w:rsid w:val="008B7669"/>
    <w:rsid w:val="008C56E9"/>
    <w:rsid w:val="0090131A"/>
    <w:rsid w:val="00904575"/>
    <w:rsid w:val="00A12D44"/>
    <w:rsid w:val="00A2789A"/>
    <w:rsid w:val="00A9285F"/>
    <w:rsid w:val="00B54D18"/>
    <w:rsid w:val="00B711DC"/>
    <w:rsid w:val="00B97A49"/>
    <w:rsid w:val="00BD6816"/>
    <w:rsid w:val="00BE0F7A"/>
    <w:rsid w:val="00CA469B"/>
    <w:rsid w:val="00CB7A9D"/>
    <w:rsid w:val="00CE790E"/>
    <w:rsid w:val="00DA615E"/>
    <w:rsid w:val="00DB172E"/>
    <w:rsid w:val="00DC1AC4"/>
    <w:rsid w:val="00E050EA"/>
    <w:rsid w:val="00E2033A"/>
    <w:rsid w:val="00E21C44"/>
    <w:rsid w:val="00E47D20"/>
    <w:rsid w:val="00E63E57"/>
    <w:rsid w:val="00E71E26"/>
    <w:rsid w:val="00F47E01"/>
    <w:rsid w:val="00FB2FEB"/>
    <w:rsid w:val="00FC26C7"/>
    <w:rsid w:val="00FD2DEE"/>
    <w:rsid w:val="00FD4438"/>
    <w:rsid w:val="00FE4286"/>
    <w:rsid w:val="07605115"/>
    <w:rsid w:val="101214C1"/>
    <w:rsid w:val="2CB72586"/>
    <w:rsid w:val="32167982"/>
    <w:rsid w:val="41B62608"/>
    <w:rsid w:val="4393525E"/>
    <w:rsid w:val="7399768A"/>
    <w:rsid w:val="F77FD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532</Words>
  <Characters>3035</Characters>
  <Lines>25</Lines>
  <Paragraphs>7</Paragraphs>
  <TotalTime>0</TotalTime>
  <ScaleCrop>false</ScaleCrop>
  <LinksUpToDate>false</LinksUpToDate>
  <CharactersWithSpaces>3560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2023-03-28T16:02:00Z</dcterms:created>
  <dc:creator>lenovo</dc:creator>
  <cp:lastModifiedBy>lenovo</cp:lastModifiedBy>
  <dcterms:modified xsi:type="dcterms:W3CDTF">2023-10-07T01:29:23Z</dcterms:modified>
  <dc:title>《揭阳市全民阅读促进条例》</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