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3</w:t>
      </w:r>
    </w:p>
    <w:p>
      <w:pPr>
        <w:jc w:val="center"/>
        <w:rPr>
          <w:rFonts w:hint="eastAsia"/>
          <w:b/>
          <w:bCs/>
          <w:sz w:val="44"/>
          <w:szCs w:val="44"/>
          <w:lang w:eastAsia="zh-CN"/>
        </w:rPr>
      </w:pPr>
      <w:r>
        <w:rPr>
          <w:rFonts w:hint="eastAsia"/>
          <w:b/>
          <w:bCs/>
          <w:sz w:val="44"/>
          <w:szCs w:val="44"/>
          <w:lang w:eastAsia="zh-CN"/>
        </w:rPr>
        <w:t>揭阳市司法行政领域信用修复项目清单</w:t>
      </w:r>
    </w:p>
    <w:p>
      <w:pPr>
        <w:jc w:val="center"/>
        <w:rPr>
          <w:rFonts w:hint="eastAsia"/>
          <w:b w:val="0"/>
          <w:bCs w:val="0"/>
          <w:sz w:val="24"/>
          <w:szCs w:val="24"/>
          <w:lang w:eastAsia="zh-CN"/>
        </w:rPr>
      </w:pPr>
    </w:p>
    <w:tbl>
      <w:tblPr>
        <w:tblStyle w:val="3"/>
        <w:tblW w:w="13920"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20"/>
        <w:gridCol w:w="4245"/>
        <w:gridCol w:w="2355"/>
        <w:gridCol w:w="323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5"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序号</w:t>
            </w:r>
          </w:p>
        </w:tc>
        <w:tc>
          <w:tcPr>
            <w:tcW w:w="2220"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申请信用修复事项</w:t>
            </w:r>
          </w:p>
        </w:tc>
        <w:tc>
          <w:tcPr>
            <w:tcW w:w="4245"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申请信用修复条件</w:t>
            </w:r>
          </w:p>
        </w:tc>
        <w:tc>
          <w:tcPr>
            <w:tcW w:w="2355"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提交材料要求</w:t>
            </w:r>
          </w:p>
        </w:tc>
        <w:tc>
          <w:tcPr>
            <w:tcW w:w="3233"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法规政策依据</w:t>
            </w:r>
          </w:p>
        </w:tc>
        <w:tc>
          <w:tcPr>
            <w:tcW w:w="1042"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trPr>
        <w:tc>
          <w:tcPr>
            <w:tcW w:w="825" w:type="dxa"/>
            <w:vAlign w:val="center"/>
          </w:tcPr>
          <w:p>
            <w:pPr>
              <w:jc w:val="cente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w:t>
            </w:r>
          </w:p>
        </w:tc>
        <w:tc>
          <w:tcPr>
            <w:tcW w:w="2220" w:type="dxa"/>
            <w:vAlign w:val="center"/>
          </w:tcPr>
          <w:p>
            <w:p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失信主体行政处罚信息信用修复</w:t>
            </w:r>
          </w:p>
        </w:tc>
        <w:tc>
          <w:tcPr>
            <w:tcW w:w="4245" w:type="dxa"/>
            <w:vAlign w:val="center"/>
          </w:tcPr>
          <w:p>
            <w:pPr>
              <w:numPr>
                <w:ilvl w:val="0"/>
                <w:numId w:val="0"/>
              </w:num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1、涉及一般失信行为的行政处罚信息自行政处罚决定之日起，在网站最短公示期限为三个月，最长公示期限为一年。法律、法规、规章另有规定的从其规定；</w:t>
            </w:r>
            <w:bookmarkStart w:id="0" w:name="_GoBack"/>
            <w:bookmarkEnd w:id="0"/>
          </w:p>
          <w:p>
            <w:pPr>
              <w:numPr>
                <w:ilvl w:val="0"/>
                <w:numId w:val="0"/>
              </w:num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2、涉及严重失信行为的行政处罚信息自行政处罚决定之日起，在网站最短公示期限为六个月，最长公示期限为三年。法律、法规、规章另有规定的从其规定；</w:t>
            </w:r>
          </w:p>
          <w:p>
            <w:pPr>
              <w:numPr>
                <w:ilvl w:val="0"/>
                <w:numId w:val="0"/>
              </w:num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3、涉及特定严重失信行为的行政处罚信息，将按最长公示期限为（三年）予以公示，公示期间不予修复。</w:t>
            </w:r>
          </w:p>
        </w:tc>
        <w:tc>
          <w:tcPr>
            <w:tcW w:w="2355" w:type="dxa"/>
            <w:vAlign w:val="center"/>
          </w:tcPr>
          <w:p>
            <w:pPr>
              <w:numPr>
                <w:ilvl w:val="0"/>
                <w:numId w:val="0"/>
              </w:num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1、履行法定义务，纠正违法行为的相关材料；</w:t>
            </w:r>
          </w:p>
          <w:p>
            <w:pPr>
              <w:numPr>
                <w:ilvl w:val="0"/>
                <w:numId w:val="0"/>
              </w:num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信用中国</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网站行政处罚信息信用修复指南</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要求提供的其他材料。</w:t>
            </w:r>
          </w:p>
        </w:tc>
        <w:tc>
          <w:tcPr>
            <w:tcW w:w="3233" w:type="dxa"/>
            <w:vAlign w:val="center"/>
          </w:tcPr>
          <w:p>
            <w:p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《国家发展改革委办公厅关于进一步完善“信用中国”网站及地方信用门户网站行政处罚信息信用修复机制的通知》（发改办财金〔2019〕527号）</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w:t>
            </w:r>
          </w:p>
          <w:p>
            <w:p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国务院办公厅关于进一步完善失信约束制度构建诚信建设长效机制的指导意见</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国办发[2020]49号</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w:t>
            </w:r>
          </w:p>
          <w:p>
            <w:pPr>
              <w:jc w:val="left"/>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信用中国</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网站行政处罚信息信用修复指南</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p>
        </w:tc>
        <w:tc>
          <w:tcPr>
            <w:tcW w:w="1042" w:type="dxa"/>
            <w:vAlign w:val="center"/>
          </w:tcPr>
          <w:p>
            <w:pPr>
              <w:jc w:val="cente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sz w:val="24"/>
                <w:szCs w:val="24"/>
                <w:vertAlign w:val="baseline"/>
                <w:lang w:val="en-US" w:eastAsia="zh-CN"/>
              </w:rPr>
              <w:t>司法行政</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部门</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lang w:eastAsia="zh-CN"/>
        </w:rPr>
      </w:pPr>
    </w:p>
    <w:sectPr>
      <w:pgSz w:w="16838" w:h="11906" w:orient="landscape"/>
      <w:pgMar w:top="16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MDhkZTlmMDNlYjM4ODZhZTk5YzZhMWQxYmI1MGUifQ=="/>
  </w:docVars>
  <w:rsids>
    <w:rsidRoot w:val="466716D1"/>
    <w:rsid w:val="0A365F24"/>
    <w:rsid w:val="0EBF7470"/>
    <w:rsid w:val="1C5D0557"/>
    <w:rsid w:val="1C9C6787"/>
    <w:rsid w:val="25DA7526"/>
    <w:rsid w:val="267449D8"/>
    <w:rsid w:val="26F557D7"/>
    <w:rsid w:val="2849353B"/>
    <w:rsid w:val="2910620E"/>
    <w:rsid w:val="33E21B99"/>
    <w:rsid w:val="351E7999"/>
    <w:rsid w:val="372303CC"/>
    <w:rsid w:val="45446A23"/>
    <w:rsid w:val="466716D1"/>
    <w:rsid w:val="49DC6356"/>
    <w:rsid w:val="4C2832E3"/>
    <w:rsid w:val="5043523D"/>
    <w:rsid w:val="5666479D"/>
    <w:rsid w:val="56852766"/>
    <w:rsid w:val="5D312A1E"/>
    <w:rsid w:val="67313AB5"/>
    <w:rsid w:val="6BD12BF8"/>
    <w:rsid w:val="75CB3C96"/>
    <w:rsid w:val="774D3A7A"/>
    <w:rsid w:val="7CDD49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揭阳市民政局</Company>
  <Pages>1</Pages>
  <Words>451</Words>
  <Characters>466</Characters>
  <Lines>0</Lines>
  <Paragraphs>0</Paragraphs>
  <TotalTime>1</TotalTime>
  <ScaleCrop>false</ScaleCrop>
  <LinksUpToDate>false</LinksUpToDate>
  <CharactersWithSpaces>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2022-09-15T09:28:00Z</dcterms:created>
  <dc:creator>mzjbgs04</dc:creator>
  <cp:lastModifiedBy>炼铁成钢</cp:lastModifiedBy>
  <cp:lastPrinted>2022-09-23T07:28:00Z</cp:lastPrinted>
  <dcterms:modified xsi:type="dcterms:W3CDTF">2023-05-09T08:59:06Z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AF47F4394790410E94BD46F249E8163F</vt:lpwstr>
  </property>
</Properties>
</file>