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_GBK" w:eastAsia="方正小标宋_GBK"/>
          <w:sz w:val="44"/>
          <w:szCs w:val="44"/>
        </w:rPr>
      </w:pPr>
    </w:p>
    <w:p>
      <w:pPr>
        <w:spacing w:line="560" w:lineRule="exact"/>
        <w:jc w:val="center"/>
        <w:rPr>
          <w:rFonts w:ascii="方正小标宋_GBK" w:eastAsia="方正小标宋_GBK"/>
          <w:sz w:val="44"/>
          <w:szCs w:val="44"/>
        </w:rPr>
      </w:pPr>
    </w:p>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方正小标宋_GBK" w:eastAsia="方正小标宋_GBK"/>
          <w:sz w:val="44"/>
          <w:szCs w:val="44"/>
        </w:rPr>
      </w:pPr>
      <w:bookmarkStart w:id="217" w:name="_GoBack"/>
      <w:bookmarkEnd w:id="217"/>
    </w:p>
    <w:p>
      <w:pPr>
        <w:pStyle w:val="28"/>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ascii="方正小标宋_GBK" w:hAnsi="黑体" w:eastAsia="方正小标宋_GBK" w:cs="黑体"/>
          <w:b/>
          <w:sz w:val="52"/>
          <w:szCs w:val="52"/>
        </w:rPr>
      </w:pPr>
      <w:r>
        <w:rPr>
          <w:rFonts w:hint="eastAsia" w:ascii="方正小标宋简体" w:hAnsi="方正小标宋简体" w:eastAsia="方正小标宋简体" w:cs="方正小标宋简体"/>
          <w:b w:val="0"/>
          <w:bCs/>
          <w:sz w:val="52"/>
          <w:szCs w:val="52"/>
          <w:lang w:val="en-US" w:eastAsia="zh-CN"/>
        </w:rPr>
        <w:t>揭阳市自然保护地整合优化</w:t>
      </w:r>
      <w:r>
        <w:rPr>
          <w:rFonts w:hint="eastAsia" w:ascii="方正小标宋简体" w:hAnsi="方正小标宋简体" w:eastAsia="方正小标宋简体" w:cs="方正小标宋简体"/>
          <w:b w:val="0"/>
          <w:bCs/>
          <w:sz w:val="52"/>
          <w:szCs w:val="52"/>
        </w:rPr>
        <w:t>方案</w:t>
      </w:r>
    </w:p>
    <w:p>
      <w:pPr>
        <w:pStyle w:val="28"/>
        <w:snapToGrid w:val="0"/>
        <w:spacing w:before="0" w:after="0" w:line="600" w:lineRule="atLeast"/>
        <w:ind w:firstLine="0" w:firstLineChars="0"/>
        <w:jc w:val="center"/>
        <w:rPr>
          <w:rFonts w:ascii="方正小标宋_GBK" w:hAnsi="黑体" w:eastAsia="方正小标宋_GBK" w:cs="黑体"/>
          <w:b/>
          <w:sz w:val="44"/>
          <w:szCs w:val="44"/>
        </w:rPr>
      </w:pPr>
    </w:p>
    <w:p>
      <w:pPr>
        <w:spacing w:line="560" w:lineRule="exact"/>
        <w:jc w:val="center"/>
        <w:rPr>
          <w:rFonts w:ascii="方正小标宋_GBK" w:eastAsia="方正小标宋_GBK"/>
          <w:sz w:val="44"/>
          <w:szCs w:val="44"/>
        </w:rPr>
      </w:pPr>
    </w:p>
    <w:p>
      <w:pPr>
        <w:spacing w:line="560" w:lineRule="exact"/>
        <w:jc w:val="center"/>
        <w:rPr>
          <w:rFonts w:ascii="方正小标宋_GBK" w:eastAsia="方正小标宋_GBK"/>
          <w:sz w:val="44"/>
          <w:szCs w:val="44"/>
        </w:rPr>
      </w:pPr>
    </w:p>
    <w:p>
      <w:pPr>
        <w:spacing w:line="560" w:lineRule="exact"/>
        <w:jc w:val="center"/>
        <w:rPr>
          <w:rFonts w:ascii="方正小标宋_GBK" w:eastAsia="方正小标宋_GBK"/>
          <w:sz w:val="44"/>
          <w:szCs w:val="44"/>
        </w:rPr>
      </w:pPr>
    </w:p>
    <w:p>
      <w:pPr>
        <w:spacing w:line="560" w:lineRule="exact"/>
        <w:jc w:val="center"/>
        <w:rPr>
          <w:rFonts w:ascii="方正小标宋_GBK" w:eastAsia="方正小标宋_GBK"/>
          <w:sz w:val="44"/>
          <w:szCs w:val="44"/>
        </w:rPr>
      </w:pPr>
    </w:p>
    <w:p>
      <w:pPr>
        <w:spacing w:line="560" w:lineRule="exact"/>
        <w:jc w:val="center"/>
        <w:rPr>
          <w:rFonts w:ascii="方正小标宋_GBK" w:eastAsia="方正小标宋_GBK"/>
          <w:sz w:val="44"/>
          <w:szCs w:val="44"/>
        </w:rPr>
      </w:pPr>
    </w:p>
    <w:p>
      <w:pPr>
        <w:spacing w:line="560" w:lineRule="exact"/>
        <w:jc w:val="center"/>
        <w:rPr>
          <w:rFonts w:ascii="方正小标宋_GBK" w:eastAsia="方正小标宋_GBK"/>
          <w:sz w:val="44"/>
          <w:szCs w:val="44"/>
        </w:rPr>
      </w:pPr>
    </w:p>
    <w:p>
      <w:pPr>
        <w:spacing w:line="560" w:lineRule="exact"/>
        <w:jc w:val="center"/>
        <w:rPr>
          <w:rFonts w:ascii="方正小标宋_GBK" w:eastAsia="方正小标宋_GBK"/>
          <w:sz w:val="44"/>
          <w:szCs w:val="44"/>
        </w:rPr>
      </w:pPr>
    </w:p>
    <w:p>
      <w:pPr>
        <w:spacing w:line="560" w:lineRule="exact"/>
        <w:jc w:val="center"/>
        <w:rPr>
          <w:rFonts w:ascii="方正小标宋_GBK" w:eastAsia="方正小标宋_GBK"/>
          <w:sz w:val="44"/>
          <w:szCs w:val="44"/>
        </w:rPr>
      </w:pPr>
    </w:p>
    <w:p>
      <w:pPr>
        <w:spacing w:line="560" w:lineRule="exact"/>
        <w:jc w:val="center"/>
        <w:rPr>
          <w:rFonts w:ascii="方正小标宋_GBK" w:eastAsia="方正小标宋_GBK"/>
          <w:sz w:val="44"/>
          <w:szCs w:val="44"/>
        </w:rPr>
      </w:pPr>
    </w:p>
    <w:p>
      <w:pPr>
        <w:spacing w:line="560" w:lineRule="exact"/>
        <w:jc w:val="center"/>
        <w:rPr>
          <w:rFonts w:ascii="方正小标宋_GBK" w:eastAsia="方正小标宋_GBK"/>
          <w:sz w:val="44"/>
          <w:szCs w:val="44"/>
        </w:rPr>
      </w:pPr>
    </w:p>
    <w:p>
      <w:pPr>
        <w:pStyle w:val="2"/>
        <w:rPr>
          <w:rFonts w:ascii="方正小标宋_GBK" w:eastAsia="方正小标宋_GBK"/>
          <w:sz w:val="44"/>
          <w:szCs w:val="44"/>
        </w:rPr>
      </w:pPr>
    </w:p>
    <w:p>
      <w:pPr>
        <w:spacing w:line="560" w:lineRule="exact"/>
        <w:jc w:val="center"/>
        <w:rPr>
          <w:rFonts w:ascii="方正小标宋_GBK" w:eastAsia="方正小标宋_GBK"/>
          <w:sz w:val="44"/>
          <w:szCs w:val="44"/>
        </w:rPr>
      </w:pPr>
    </w:p>
    <w:p>
      <w:pPr>
        <w:spacing w:line="560" w:lineRule="exact"/>
        <w:jc w:val="center"/>
        <w:rPr>
          <w:rFonts w:ascii="方正小标宋_GBK" w:eastAsia="方正小标宋_GBK"/>
          <w:sz w:val="44"/>
          <w:szCs w:val="44"/>
        </w:rPr>
      </w:pPr>
    </w:p>
    <w:p>
      <w:pPr>
        <w:pStyle w:val="2"/>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揭阳市林业局</w:t>
      </w:r>
    </w:p>
    <w:p>
      <w:pPr>
        <w:pStyle w:val="2"/>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2023年3月</w:t>
      </w:r>
    </w:p>
    <w:p>
      <w:pPr>
        <w:spacing w:line="560" w:lineRule="exact"/>
        <w:rPr>
          <w:rFonts w:ascii="方正仿宋_GBK" w:eastAsia="方正仿宋_GBK"/>
          <w:sz w:val="32"/>
          <w:szCs w:val="32"/>
        </w:rPr>
        <w:sectPr>
          <w:headerReference r:id="rId5" w:type="default"/>
          <w:footerReference r:id="rId7" w:type="default"/>
          <w:headerReference r:id="rId6" w:type="even"/>
          <w:pgSz w:w="11910" w:h="16840"/>
          <w:pgMar w:top="2098" w:right="1588" w:bottom="1985" w:left="1588" w:header="0" w:footer="998" w:gutter="0"/>
          <w:cols w:space="425" w:num="1"/>
          <w:docGrid w:linePitch="299" w:charSpace="0"/>
        </w:sectPr>
      </w:pPr>
    </w:p>
    <w:p>
      <w:pPr>
        <w:pStyle w:val="3"/>
        <w:keepNext/>
        <w:keepLines/>
        <w:pageBreakBefore w:val="0"/>
        <w:widowControl/>
        <w:kinsoku/>
        <w:wordWrap/>
        <w:overflowPunct/>
        <w:topLinePunct w:val="0"/>
        <w:autoSpaceDE/>
        <w:autoSpaceDN/>
        <w:bidi w:val="0"/>
        <w:adjustRightInd/>
        <w:snapToGrid/>
        <w:spacing w:before="120" w:beforeLines="50" w:after="120" w:afterLines="50" w:line="560" w:lineRule="exact"/>
        <w:ind w:firstLine="0" w:firstLineChars="0"/>
        <w:jc w:val="center"/>
        <w:textAlignment w:val="auto"/>
        <w:rPr>
          <w:rFonts w:hint="eastAsia" w:ascii="方正小标宋简体" w:hAnsi="方正小标宋简体" w:eastAsia="方正小标宋简体" w:cs="方正小标宋简体"/>
          <w:b w:val="0"/>
          <w:bCs w:val="0"/>
          <w:sz w:val="30"/>
          <w:szCs w:val="30"/>
        </w:rPr>
      </w:pPr>
      <w:bookmarkStart w:id="0" w:name="_Toc15394"/>
      <w:bookmarkStart w:id="1" w:name="_Toc17352"/>
      <w:bookmarkStart w:id="2" w:name="_Toc10353"/>
      <w:bookmarkStart w:id="3" w:name="_Toc45972255"/>
      <w:bookmarkStart w:id="4" w:name="_Toc16863"/>
      <w:bookmarkStart w:id="5" w:name="_Toc30494"/>
      <w:bookmarkStart w:id="6" w:name="_Toc865"/>
      <w:bookmarkStart w:id="7" w:name="_Toc47914896"/>
      <w:bookmarkStart w:id="8" w:name="_Toc118716347"/>
      <w:bookmarkStart w:id="9" w:name="_Toc43884007"/>
      <w:bookmarkStart w:id="10" w:name="_Toc25127"/>
      <w:bookmarkStart w:id="11" w:name="_Toc9697"/>
      <w:r>
        <w:rPr>
          <w:rFonts w:hint="eastAsia" w:ascii="方正小标宋简体" w:hAnsi="方正小标宋简体" w:eastAsia="方正小标宋简体" w:cs="方正小标宋简体"/>
          <w:b w:val="0"/>
          <w:bCs w:val="0"/>
          <w:sz w:val="30"/>
          <w:szCs w:val="30"/>
        </w:rPr>
        <w:t>前  言</w:t>
      </w:r>
      <w:bookmarkEnd w:id="0"/>
      <w:bookmarkEnd w:id="1"/>
      <w:bookmarkEnd w:id="2"/>
      <w:bookmarkEnd w:id="3"/>
      <w:bookmarkEnd w:id="4"/>
      <w:bookmarkEnd w:id="5"/>
      <w:bookmarkEnd w:id="6"/>
      <w:bookmarkEnd w:id="7"/>
      <w:bookmarkEnd w:id="8"/>
      <w:bookmarkEnd w:id="9"/>
      <w:bookmarkEnd w:id="10"/>
      <w:bookmarkEnd w:id="11"/>
    </w:p>
    <w:p>
      <w:pPr>
        <w:widowControl w:val="0"/>
        <w:adjustRightInd w:val="0"/>
        <w:snapToGrid w:val="0"/>
        <w:spacing w:line="578"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建立以国家公园为主体的自然保护地体系，是贯彻习近平生态文明思想的重大举措，是党的十九大提出的重大改革任务。</w:t>
      </w:r>
    </w:p>
    <w:p>
      <w:pPr>
        <w:widowControl w:val="0"/>
        <w:adjustRightInd w:val="0"/>
        <w:snapToGrid w:val="0"/>
        <w:spacing w:line="578"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6月，中办国办印发《关于建立以国家公园为主体的自然保护地体系的指导意见》（以下简称《指导意见》），要求开展自然保护地整合优化工作，合理确定自然保护地类型和功能定位，优化边界范围和功能分区，重点解决自然保护地空间重叠、边界不清、权责不明、保护与发展矛盾突出等问题。2019年10月，中办国办印发《关于在国土空间规划中统筹划定落实三条控制线的指导意见》，要求对自然保护地进行调整优化，评估调整后的自然保护地划入生态保护红线，并做到生态保护红线、永久基本农田、城镇开发边界不重叠。</w:t>
      </w:r>
    </w:p>
    <w:p>
      <w:pPr>
        <w:widowControl w:val="0"/>
        <w:adjustRightInd w:val="0"/>
        <w:snapToGrid w:val="0"/>
        <w:spacing w:line="578" w:lineRule="exact"/>
        <w:ind w:firstLine="640" w:firstLineChars="200"/>
        <w:jc w:val="both"/>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sz w:val="32"/>
          <w:szCs w:val="32"/>
        </w:rPr>
        <w:t>自然保护地整合优化工作范围包括</w:t>
      </w:r>
      <w:r>
        <w:rPr>
          <w:rFonts w:hint="default" w:ascii="Times New Roman" w:hAnsi="Times New Roman" w:eastAsia="仿宋_GB2312" w:cs="Times New Roman"/>
          <w:sz w:val="32"/>
          <w:szCs w:val="32"/>
          <w:lang w:val="en-US" w:eastAsia="zh-CN"/>
        </w:rPr>
        <w:t>全省21地市</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其中</w:t>
      </w:r>
      <w:r>
        <w:rPr>
          <w:rFonts w:hint="default" w:ascii="Times New Roman" w:hAnsi="Times New Roman" w:eastAsia="仿宋_GB2312" w:cs="Times New Roman"/>
          <w:sz w:val="32"/>
          <w:szCs w:val="32"/>
        </w:rPr>
        <w:t>涉及</w:t>
      </w:r>
      <w:r>
        <w:rPr>
          <w:rFonts w:hint="default" w:ascii="Times New Roman" w:hAnsi="Times New Roman" w:eastAsia="仿宋_GB2312" w:cs="Times New Roman"/>
          <w:sz w:val="32"/>
          <w:szCs w:val="32"/>
          <w:lang w:val="en-US" w:eastAsia="zh-CN"/>
        </w:rPr>
        <w:t>揭阳市</w:t>
      </w:r>
      <w:r>
        <w:rPr>
          <w:rFonts w:hint="default" w:ascii="Times New Roman" w:hAnsi="Times New Roman" w:eastAsia="仿宋_GB2312" w:cs="Times New Roman"/>
          <w:sz w:val="32"/>
          <w:szCs w:val="32"/>
        </w:rPr>
        <w:t>陆域和管辖海域范围内的现有</w:t>
      </w:r>
      <w:r>
        <w:rPr>
          <w:rFonts w:hint="default" w:ascii="Times New Roman" w:hAnsi="Times New Roman" w:eastAsia="仿宋_GB2312" w:cs="Times New Roman"/>
          <w:sz w:val="32"/>
          <w:szCs w:val="32"/>
          <w:lang w:val="en-US" w:eastAsia="zh-CN"/>
        </w:rPr>
        <w:t>自然保护地23个</w:t>
      </w:r>
      <w:r>
        <w:rPr>
          <w:rFonts w:hint="default" w:ascii="Times New Roman" w:hAnsi="Times New Roman" w:eastAsia="仿宋_GB2312" w:cs="Times New Roman"/>
          <w:sz w:val="32"/>
          <w:szCs w:val="32"/>
        </w:rPr>
        <w:t>，批复总面积</w:t>
      </w:r>
      <w:r>
        <w:rPr>
          <w:rFonts w:hint="default" w:ascii="Times New Roman" w:hAnsi="Times New Roman" w:eastAsia="仿宋_GB2312" w:cs="Times New Roman"/>
          <w:sz w:val="32"/>
          <w:szCs w:val="32"/>
          <w:lang w:val="en-US" w:eastAsia="zh-CN"/>
        </w:rPr>
        <w:t>46493.59</w:t>
      </w:r>
      <w:r>
        <w:rPr>
          <w:rFonts w:hint="default" w:ascii="Times New Roman" w:hAnsi="Times New Roman" w:eastAsia="仿宋_GB2312" w:cs="Times New Roman"/>
          <w:sz w:val="32"/>
          <w:szCs w:val="32"/>
        </w:rPr>
        <w:t>公顷（含交叉重叠）。整合优化后，</w:t>
      </w:r>
      <w:r>
        <w:rPr>
          <w:rFonts w:hint="default" w:ascii="Times New Roman" w:hAnsi="Times New Roman" w:eastAsia="仿宋_GB2312" w:cs="Times New Roman"/>
          <w:sz w:val="32"/>
          <w:szCs w:val="32"/>
          <w:lang w:val="en-US" w:eastAsia="zh-CN"/>
        </w:rPr>
        <w:t>揭阳市</w:t>
      </w:r>
      <w:r>
        <w:rPr>
          <w:rFonts w:hint="default" w:ascii="Times New Roman" w:hAnsi="Times New Roman" w:eastAsia="仿宋_GB2312" w:cs="Times New Roman"/>
          <w:sz w:val="32"/>
          <w:szCs w:val="32"/>
        </w:rPr>
        <w:t>自然保护地体系由自然保护区、自然公园构成，共</w:t>
      </w:r>
      <w:r>
        <w:rPr>
          <w:rFonts w:hint="default" w:ascii="Times New Roman" w:hAnsi="Times New Roman" w:eastAsia="仿宋_GB2312" w:cs="Times New Roman"/>
          <w:sz w:val="32"/>
          <w:szCs w:val="32"/>
          <w:lang w:val="en-US" w:eastAsia="zh-CN"/>
        </w:rPr>
        <w:t>19</w:t>
      </w:r>
      <w:r>
        <w:rPr>
          <w:rFonts w:hint="default" w:ascii="Times New Roman" w:hAnsi="Times New Roman" w:eastAsia="仿宋_GB2312" w:cs="Times New Roman"/>
          <w:sz w:val="32"/>
          <w:szCs w:val="32"/>
        </w:rPr>
        <w:t>个，总面积为</w:t>
      </w:r>
      <w:r>
        <w:rPr>
          <w:rFonts w:hint="eastAsia" w:cs="Times New Roman"/>
          <w:sz w:val="32"/>
          <w:szCs w:val="32"/>
          <w:lang w:val="en-US" w:eastAsia="zh-CN"/>
        </w:rPr>
        <w:t>48298.33</w:t>
      </w:r>
      <w:r>
        <w:rPr>
          <w:rFonts w:hint="default" w:ascii="Times New Roman" w:hAnsi="Times New Roman" w:eastAsia="仿宋_GB2312" w:cs="Times New Roman"/>
          <w:sz w:val="32"/>
          <w:szCs w:val="32"/>
        </w:rPr>
        <w:t>公顷。整合优化从现有自然保护地范围内</w:t>
      </w:r>
      <w:r>
        <w:rPr>
          <w:rFonts w:hint="default" w:ascii="Times New Roman" w:hAnsi="Times New Roman" w:eastAsia="仿宋_GB2312" w:cs="Times New Roman"/>
          <w:sz w:val="32"/>
          <w:szCs w:val="32"/>
          <w:highlight w:val="none"/>
        </w:rPr>
        <w:t>调出耕地及永久基本农田、矿业权、人工商品林、城镇村、开发区、确权用海、重大项目及其他各类空间矛盾冲突共计</w:t>
      </w:r>
      <w:r>
        <w:rPr>
          <w:rFonts w:hint="default" w:ascii="Times New Roman" w:hAnsi="Times New Roman" w:eastAsia="仿宋_GB2312" w:cs="Times New Roman"/>
          <w:sz w:val="32"/>
          <w:szCs w:val="32"/>
          <w:highlight w:val="none"/>
          <w:lang w:eastAsia="zh-CN"/>
        </w:rPr>
        <w:t>8287.6</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公顷，将</w:t>
      </w:r>
      <w:r>
        <w:rPr>
          <w:rFonts w:hint="default" w:ascii="Times New Roman" w:hAnsi="Times New Roman" w:eastAsia="仿宋_GB2312" w:cs="Times New Roman"/>
          <w:sz w:val="32"/>
          <w:szCs w:val="32"/>
          <w:highlight w:val="none"/>
          <w:lang w:eastAsia="zh-CN"/>
        </w:rPr>
        <w:t>14181.2</w:t>
      </w:r>
      <w:r>
        <w:rPr>
          <w:rFonts w:hint="default" w:ascii="Times New Roman" w:hAnsi="Times New Roman" w:eastAsia="仿宋_GB2312" w:cs="Times New Roman"/>
          <w:sz w:val="32"/>
          <w:szCs w:val="32"/>
          <w:highlight w:val="none"/>
          <w:lang w:val="en-US" w:eastAsia="zh-CN"/>
        </w:rPr>
        <w:t>9</w:t>
      </w:r>
      <w:r>
        <w:rPr>
          <w:rFonts w:hint="default" w:ascii="Times New Roman" w:hAnsi="Times New Roman" w:eastAsia="仿宋_GB2312" w:cs="Times New Roman"/>
          <w:sz w:val="32"/>
          <w:szCs w:val="32"/>
          <w:highlight w:val="none"/>
        </w:rPr>
        <w:t>公顷森林、草</w:t>
      </w:r>
      <w:r>
        <w:rPr>
          <w:rFonts w:hint="eastAsia" w:ascii="仿宋_GB2312" w:hAnsi="仿宋_GB2312" w:eastAsia="仿宋_GB2312" w:cs="仿宋_GB2312"/>
          <w:sz w:val="32"/>
          <w:szCs w:val="32"/>
          <w:highlight w:val="none"/>
        </w:rPr>
        <w:t>原、湿地等生态空间调入自然保护地范围。</w:t>
      </w:r>
    </w:p>
    <w:p>
      <w:pPr>
        <w:widowControl w:val="0"/>
        <w:adjustRightInd w:val="0"/>
        <w:snapToGrid w:val="0"/>
        <w:spacing w:line="578"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整合优化构建起新型自然保护地分类分级分区体系，建立了统一的自然保护地矢量数据图库，并纳入国土空间规划一张图管理；整合归并了交叉重叠和相邻相连的自然保护地，解决了自然保护地重复设置、空间重叠问题；化解了历史遗留问题和现实矛盾冲突，提升了自然保护地生态系统多样性、稳定性、持续性；完善了自然保护地体系空间格局，使之更加契合</w:t>
      </w:r>
      <w:r>
        <w:rPr>
          <w:rFonts w:hint="eastAsia" w:ascii="仿宋_GB2312" w:hAnsi="仿宋_GB2312" w:eastAsia="仿宋_GB2312" w:cs="仿宋_GB2312"/>
          <w:sz w:val="32"/>
          <w:szCs w:val="32"/>
          <w:lang w:val="en-US" w:eastAsia="zh-CN"/>
        </w:rPr>
        <w:t>我</w:t>
      </w:r>
      <w:r>
        <w:rPr>
          <w:rFonts w:hint="eastAsia" w:ascii="仿宋_GB2312" w:hAnsi="仿宋_GB2312" w:eastAsia="仿宋_GB2312" w:cs="仿宋_GB2312"/>
          <w:sz w:val="32"/>
          <w:szCs w:val="32"/>
        </w:rPr>
        <w:t>国区域人口、自然地理和资源禀赋特征。</w:t>
      </w:r>
    </w:p>
    <w:p>
      <w:pPr>
        <w:adjustRightInd w:val="0"/>
        <w:snapToGrid w:val="0"/>
        <w:spacing w:line="600" w:lineRule="exact"/>
        <w:ind w:firstLine="640" w:firstLineChars="200"/>
        <w:rPr>
          <w:rFonts w:ascii="仿宋" w:hAnsi="仿宋" w:eastAsia="仿宋" w:cs="仿宋"/>
          <w:bCs/>
          <w:color w:val="000000" w:themeColor="text1"/>
          <w:sz w:val="32"/>
          <w:szCs w:val="32"/>
          <w14:textFill>
            <w14:solidFill>
              <w14:schemeClr w14:val="tx1"/>
            </w14:solidFill>
          </w14:textFill>
        </w:rPr>
        <w:sectPr>
          <w:footerReference r:id="rId8" w:type="default"/>
          <w:pgSz w:w="11910" w:h="16840"/>
          <w:pgMar w:top="2098" w:right="1474" w:bottom="1984" w:left="1587" w:header="0" w:footer="998" w:gutter="0"/>
          <w:pgNumType w:fmt="lowerRoman" w:start="1"/>
          <w:cols w:space="425" w:num="1"/>
          <w:docGrid w:linePitch="299" w:charSpace="0"/>
        </w:sectPr>
      </w:pPr>
    </w:p>
    <w:sdt>
      <w:sdtPr>
        <w:rPr>
          <w:rFonts w:hint="eastAsia" w:ascii="方正小标宋简体" w:hAnsi="方正小标宋简体" w:eastAsia="方正小标宋简体" w:cs="方正小标宋简体"/>
          <w:sz w:val="32"/>
          <w:szCs w:val="32"/>
          <w:lang w:val="en-US" w:eastAsia="zh-CN" w:bidi="ar-SA"/>
        </w:rPr>
        <w:id w:val="147461790"/>
        <w15:color w:val="DBDBDB"/>
        <w:docPartObj>
          <w:docPartGallery w:val="Table of Contents"/>
          <w:docPartUnique/>
        </w:docPartObj>
      </w:sdtPr>
      <w:sdtEndPr>
        <w:rPr>
          <w:rFonts w:hint="eastAsia" w:ascii="方正小标宋简体" w:hAnsi="方正小标宋简体" w:eastAsia="方正小标宋简体" w:cs="方正小标宋简体"/>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目</w:t>
          </w:r>
          <w:r>
            <w:rPr>
              <w:rFonts w:hint="eastAsia" w:ascii="方正小标宋简体" w:hAnsi="方正小标宋简体" w:eastAsia="方正小标宋简体" w:cs="方正小标宋简体"/>
              <w:sz w:val="32"/>
              <w:szCs w:val="32"/>
              <w:lang w:val="en-US" w:eastAsia="zh-CN"/>
            </w:rPr>
            <w:t xml:space="preserve">  </w:t>
          </w:r>
          <w:r>
            <w:rPr>
              <w:rFonts w:hint="eastAsia" w:ascii="方正小标宋简体" w:hAnsi="方正小标宋简体" w:eastAsia="方正小标宋简体" w:cs="方正小标宋简体"/>
              <w:sz w:val="32"/>
              <w:szCs w:val="32"/>
            </w:rPr>
            <w:t>录</w:t>
          </w:r>
        </w:p>
        <w:p>
          <w:pPr>
            <w:pStyle w:val="13"/>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TOC \o "1-3" \h \u </w:instrText>
          </w:r>
          <w:r>
            <w:rPr>
              <w:rFonts w:ascii="Times New Roman" w:hAnsi="Times New Roman" w:eastAsia="仿宋_GB2312" w:cs="宋体"/>
              <w:bCs w:val="0"/>
              <w:sz w:val="30"/>
              <w:szCs w:val="30"/>
            </w:rPr>
            <w:fldChar w:fldCharType="separate"/>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_Toc27390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一、自然保护地现状</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_Toc27390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1</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_Toc28174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（一）主要问题</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_Toc28174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2</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_Toc6393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1</w:t>
          </w:r>
          <w:r>
            <w:rPr>
              <w:rFonts w:hint="eastAsia" w:ascii="Times New Roman" w:hAnsi="Times New Roman" w:eastAsia="仿宋_GB2312" w:cs="宋体"/>
              <w:bCs w:val="0"/>
              <w:sz w:val="30"/>
              <w:szCs w:val="30"/>
            </w:rPr>
            <w:t>. 边界范围底数不清</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_Toc6393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2</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_Toc24919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2.</w:t>
          </w:r>
          <w:r>
            <w:rPr>
              <w:rFonts w:hint="default" w:ascii="Times New Roman" w:hAnsi="Times New Roman" w:eastAsia="仿宋_GB2312" w:cs="宋体"/>
              <w:bCs w:val="0"/>
              <w:sz w:val="30"/>
              <w:szCs w:val="30"/>
            </w:rPr>
            <w:t xml:space="preserve"> </w:t>
          </w:r>
          <w:r>
            <w:rPr>
              <w:rFonts w:hint="eastAsia" w:ascii="Times New Roman" w:hAnsi="Times New Roman" w:eastAsia="仿宋_GB2312" w:cs="宋体"/>
              <w:bCs w:val="0"/>
              <w:sz w:val="30"/>
              <w:szCs w:val="30"/>
            </w:rPr>
            <w:t>区域交叉空间重叠</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_Toc24919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2</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_Toc15502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3.</w:t>
          </w:r>
          <w:r>
            <w:rPr>
              <w:rFonts w:hint="default" w:ascii="Times New Roman" w:hAnsi="Times New Roman" w:eastAsia="仿宋_GB2312" w:cs="宋体"/>
              <w:bCs w:val="0"/>
              <w:sz w:val="30"/>
              <w:szCs w:val="30"/>
            </w:rPr>
            <w:t xml:space="preserve"> </w:t>
          </w:r>
          <w:r>
            <w:rPr>
              <w:rFonts w:hint="eastAsia" w:ascii="Times New Roman" w:hAnsi="Times New Roman" w:eastAsia="仿宋_GB2312" w:cs="宋体"/>
              <w:bCs w:val="0"/>
              <w:sz w:val="30"/>
              <w:szCs w:val="30"/>
            </w:rPr>
            <w:t>矛盾冲突点多面广</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_Toc15502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2</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_Toc7914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4. 空间布局不尽合理</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_Toc7914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3</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_Toc10497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（二）自然保护地面积</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_Toc10497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3</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_Toc4011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1</w:t>
          </w:r>
          <w:r>
            <w:rPr>
              <w:rFonts w:hint="eastAsia" w:ascii="Times New Roman" w:hAnsi="Times New Roman" w:eastAsia="仿宋_GB2312" w:cs="宋体"/>
              <w:bCs w:val="0"/>
              <w:sz w:val="30"/>
              <w:szCs w:val="30"/>
            </w:rPr>
            <w:t>.</w:t>
          </w:r>
          <w:r>
            <w:rPr>
              <w:rFonts w:hint="default" w:ascii="Times New Roman" w:hAnsi="Times New Roman" w:eastAsia="仿宋_GB2312" w:cs="宋体"/>
              <w:bCs w:val="0"/>
              <w:sz w:val="30"/>
              <w:szCs w:val="30"/>
            </w:rPr>
            <w:t xml:space="preserve"> </w:t>
          </w:r>
          <w:r>
            <w:rPr>
              <w:rFonts w:hint="eastAsia" w:ascii="Times New Roman" w:hAnsi="Times New Roman" w:eastAsia="仿宋_GB2312" w:cs="宋体"/>
              <w:bCs w:val="0"/>
              <w:sz w:val="30"/>
              <w:szCs w:val="30"/>
            </w:rPr>
            <w:t>批复面积</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_Toc4011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3</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_Toc17299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2</w:t>
          </w:r>
          <w:r>
            <w:rPr>
              <w:rFonts w:hint="eastAsia" w:ascii="Times New Roman" w:hAnsi="Times New Roman" w:eastAsia="仿宋_GB2312" w:cs="宋体"/>
              <w:bCs w:val="0"/>
              <w:sz w:val="30"/>
              <w:szCs w:val="30"/>
            </w:rPr>
            <w:t>.</w:t>
          </w:r>
          <w:r>
            <w:rPr>
              <w:rFonts w:hint="default" w:ascii="Times New Roman" w:hAnsi="Times New Roman" w:eastAsia="仿宋_GB2312" w:cs="宋体"/>
              <w:bCs w:val="0"/>
              <w:sz w:val="30"/>
              <w:szCs w:val="30"/>
            </w:rPr>
            <w:t xml:space="preserve"> </w:t>
          </w:r>
          <w:r>
            <w:rPr>
              <w:rFonts w:hint="eastAsia" w:ascii="Times New Roman" w:hAnsi="Times New Roman" w:eastAsia="仿宋_GB2312" w:cs="宋体"/>
              <w:bCs w:val="0"/>
              <w:sz w:val="30"/>
              <w:szCs w:val="30"/>
            </w:rPr>
            <w:t>矢量面积</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_Toc17299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3</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_Toc19479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3</w:t>
          </w:r>
          <w:r>
            <w:rPr>
              <w:rFonts w:ascii="Times New Roman" w:hAnsi="Times New Roman" w:eastAsia="仿宋_GB2312" w:cs="宋体"/>
              <w:bCs w:val="0"/>
              <w:sz w:val="30"/>
              <w:szCs w:val="30"/>
            </w:rPr>
            <w:t xml:space="preserve">. </w:t>
          </w:r>
          <w:r>
            <w:rPr>
              <w:rFonts w:hint="eastAsia" w:ascii="Times New Roman" w:hAnsi="Times New Roman" w:eastAsia="仿宋_GB2312" w:cs="宋体"/>
              <w:bCs w:val="0"/>
              <w:sz w:val="30"/>
              <w:szCs w:val="30"/>
            </w:rPr>
            <w:t>净占地面积</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_Toc19479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3</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_Toc29187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（三）分类概述</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_Toc29187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3</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_Toc32070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1.</w:t>
          </w:r>
          <w:r>
            <w:rPr>
              <w:rFonts w:hint="default" w:ascii="Times New Roman" w:hAnsi="Times New Roman" w:eastAsia="仿宋_GB2312" w:cs="宋体"/>
              <w:bCs w:val="0"/>
              <w:sz w:val="30"/>
              <w:szCs w:val="30"/>
            </w:rPr>
            <w:t xml:space="preserve"> </w:t>
          </w:r>
          <w:r>
            <w:rPr>
              <w:rFonts w:hint="eastAsia" w:ascii="Times New Roman" w:hAnsi="Times New Roman" w:eastAsia="仿宋_GB2312" w:cs="宋体"/>
              <w:bCs w:val="0"/>
              <w:sz w:val="30"/>
              <w:szCs w:val="30"/>
            </w:rPr>
            <w:t>自然保护区</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_Toc32070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3</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_Toc29207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lang w:val="en-US" w:eastAsia="zh-CN"/>
            </w:rPr>
            <w:t>2</w:t>
          </w:r>
          <w:r>
            <w:rPr>
              <w:rFonts w:hint="eastAsia" w:ascii="Times New Roman" w:hAnsi="Times New Roman" w:eastAsia="仿宋_GB2312" w:cs="宋体"/>
              <w:bCs w:val="0"/>
              <w:sz w:val="30"/>
              <w:szCs w:val="30"/>
            </w:rPr>
            <w:t>.</w:t>
          </w:r>
          <w:r>
            <w:rPr>
              <w:rFonts w:hint="default" w:ascii="Times New Roman" w:hAnsi="Times New Roman" w:eastAsia="仿宋_GB2312" w:cs="宋体"/>
              <w:bCs w:val="0"/>
              <w:sz w:val="30"/>
              <w:szCs w:val="30"/>
            </w:rPr>
            <w:t xml:space="preserve"> </w:t>
          </w:r>
          <w:r>
            <w:rPr>
              <w:rFonts w:hint="eastAsia" w:ascii="Times New Roman" w:hAnsi="Times New Roman" w:eastAsia="仿宋_GB2312" w:cs="宋体"/>
              <w:bCs w:val="0"/>
              <w:sz w:val="30"/>
              <w:szCs w:val="30"/>
            </w:rPr>
            <w:t>森林公园</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_Toc29207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4</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_Toc26312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lang w:val="en-US" w:eastAsia="zh-CN"/>
            </w:rPr>
            <w:t>3</w:t>
          </w:r>
          <w:r>
            <w:rPr>
              <w:rFonts w:hint="eastAsia" w:ascii="Times New Roman" w:hAnsi="Times New Roman" w:eastAsia="仿宋_GB2312" w:cs="宋体"/>
              <w:bCs w:val="0"/>
              <w:sz w:val="30"/>
              <w:szCs w:val="30"/>
            </w:rPr>
            <w:t>.</w:t>
          </w:r>
          <w:r>
            <w:rPr>
              <w:rFonts w:hint="default" w:ascii="Times New Roman" w:hAnsi="Times New Roman" w:eastAsia="仿宋_GB2312" w:cs="宋体"/>
              <w:bCs w:val="0"/>
              <w:sz w:val="30"/>
              <w:szCs w:val="30"/>
            </w:rPr>
            <w:t xml:space="preserve"> </w:t>
          </w:r>
          <w:r>
            <w:rPr>
              <w:rFonts w:hint="eastAsia" w:ascii="Times New Roman" w:hAnsi="Times New Roman" w:eastAsia="仿宋_GB2312" w:cs="宋体"/>
              <w:bCs w:val="0"/>
              <w:sz w:val="30"/>
              <w:szCs w:val="30"/>
            </w:rPr>
            <w:t>地质公园</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_Toc26312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4</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_Toc2679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lang w:val="en-US" w:eastAsia="zh-CN"/>
            </w:rPr>
            <w:t>4</w:t>
          </w:r>
          <w:r>
            <w:rPr>
              <w:rFonts w:hint="eastAsia" w:ascii="Times New Roman" w:hAnsi="Times New Roman" w:eastAsia="仿宋_GB2312" w:cs="宋体"/>
              <w:bCs w:val="0"/>
              <w:sz w:val="30"/>
              <w:szCs w:val="30"/>
            </w:rPr>
            <w:t>.</w:t>
          </w:r>
          <w:r>
            <w:rPr>
              <w:rFonts w:hint="default" w:ascii="Times New Roman" w:hAnsi="Times New Roman" w:eastAsia="仿宋_GB2312" w:cs="宋体"/>
              <w:bCs w:val="0"/>
              <w:sz w:val="30"/>
              <w:szCs w:val="30"/>
            </w:rPr>
            <w:t xml:space="preserve"> </w:t>
          </w:r>
          <w:r>
            <w:rPr>
              <w:rFonts w:hint="eastAsia" w:ascii="Times New Roman" w:hAnsi="Times New Roman" w:eastAsia="仿宋_GB2312" w:cs="宋体"/>
              <w:bCs w:val="0"/>
              <w:sz w:val="30"/>
              <w:szCs w:val="30"/>
            </w:rPr>
            <w:t>湿地公园</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_Toc2679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4</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3"/>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sz w:val="30"/>
              <w:szCs w:val="30"/>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_Toc26774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二、工作开展情况</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_Toc26774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5</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_Toc18275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（一）工作思路</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_Toc18275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5</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_Toc373 </w:instrText>
          </w:r>
          <w:r>
            <w:rPr>
              <w:rFonts w:ascii="Times New Roman" w:hAnsi="Times New Roman" w:eastAsia="仿宋_GB2312" w:cs="宋体"/>
              <w:bCs w:val="0"/>
              <w:sz w:val="30"/>
              <w:szCs w:val="30"/>
            </w:rPr>
            <w:fldChar w:fldCharType="separate"/>
          </w:r>
          <w:r>
            <w:rPr>
              <w:rFonts w:hint="default" w:ascii="Times New Roman" w:hAnsi="Times New Roman" w:eastAsia="仿宋_GB2312" w:cs="宋体"/>
              <w:bCs w:val="0"/>
              <w:sz w:val="30"/>
              <w:szCs w:val="30"/>
            </w:rPr>
            <w:t>（二）工作过程</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_Toc373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5</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_Toc18947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1. 开展调查摸底</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_Toc18947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5</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_Toc23927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2. 分析保护空缺</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_Toc23927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7</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_Toc10095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3. 制定工作规则</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_Toc10095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7</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8"/>
            <w:keepNext w:val="0"/>
            <w:keepLines w:val="0"/>
            <w:pageBreakBefore w:val="0"/>
            <w:tabs>
              <w:tab w:val="right" w:leader="dot" w:pos="8849"/>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_Toc6528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4.预案编制、审核</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_Toc6528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8</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3"/>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_Toc31890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三、整合优化规则</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_Toc31890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11</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_Toc27642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（一）分类分级规则</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_Toc27642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11</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_Toc18076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（二）整合归并规则</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_Toc18076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12</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_Toc9241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（三）分区优化规则</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_Toc9241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13</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_Toc19366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（四）调入规则</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_Toc19366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14</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_Toc15460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（五）矛盾冲突处理规则</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_Toc15460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14</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3"/>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sz w:val="30"/>
              <w:szCs w:val="30"/>
            </w:rPr>
          </w:pP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_Toc32165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四、整合优化结果</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_Toc32165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17</w:t>
          </w:r>
          <w:r>
            <w:rPr>
              <w:rFonts w:hint="eastAsia" w:ascii="宋体" w:hAnsi="宋体" w:eastAsia="宋体" w:cs="宋体"/>
              <w:b/>
              <w:bCs/>
              <w:sz w:val="30"/>
              <w:szCs w:val="30"/>
            </w:rPr>
            <w:fldChar w:fldCharType="end"/>
          </w:r>
          <w:r>
            <w:rPr>
              <w:rFonts w:hint="eastAsia" w:ascii="宋体" w:hAnsi="宋体" w:eastAsia="宋体" w:cs="宋体"/>
              <w:b/>
              <w:bCs/>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_Toc25183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（一）分类分级</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_Toc25183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17</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_Toc20975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（二）分区管控</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_Toc20975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19</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_Toc6611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（三）整合归并</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_Toc6611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19</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_Toc16583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（四）撤销和降级</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_Toc16583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19</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_Toc3356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（五）调入和调出</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_Toc3356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20</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3"/>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_Toc8700 </w:instrText>
          </w:r>
          <w:r>
            <w:rPr>
              <w:rFonts w:ascii="Times New Roman" w:hAnsi="Times New Roman" w:eastAsia="仿宋_GB2312" w:cs="宋体"/>
              <w:bCs w:val="0"/>
              <w:sz w:val="30"/>
              <w:szCs w:val="30"/>
            </w:rPr>
            <w:fldChar w:fldCharType="separate"/>
          </w:r>
          <w:r>
            <w:rPr>
              <w:rFonts w:hint="eastAsia" w:ascii="宋体" w:hAnsi="宋体" w:eastAsia="宋体" w:cs="宋体"/>
              <w:b/>
              <w:bCs/>
              <w:sz w:val="30"/>
              <w:szCs w:val="30"/>
            </w:rPr>
            <w:t>五、成效分析</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_Toc8700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21</w:t>
          </w:r>
          <w:r>
            <w:rPr>
              <w:rFonts w:hint="eastAsia" w:ascii="宋体" w:hAnsi="宋体" w:eastAsia="宋体" w:cs="宋体"/>
              <w:b/>
              <w:bCs/>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_Toc32113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（1）生态效益</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_Toc32113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21</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_Toc17858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（2）经济效益</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_Toc17858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21</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pStyle w:val="15"/>
            <w:keepNext w:val="0"/>
            <w:keepLines w:val="0"/>
            <w:pageBreakBefore w:val="0"/>
            <w:tabs>
              <w:tab w:val="right" w:leader="dot" w:pos="8849"/>
              <w:tab w:val="clear" w:pos="87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宋体"/>
              <w:bCs w:val="0"/>
              <w:sz w:val="30"/>
              <w:szCs w:val="30"/>
            </w:rPr>
          </w:pP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HYPERLINK \l _Toc8689 </w:instrText>
          </w:r>
          <w:r>
            <w:rPr>
              <w:rFonts w:ascii="Times New Roman" w:hAnsi="Times New Roman" w:eastAsia="仿宋_GB2312" w:cs="宋体"/>
              <w:bCs w:val="0"/>
              <w:sz w:val="30"/>
              <w:szCs w:val="30"/>
            </w:rPr>
            <w:fldChar w:fldCharType="separate"/>
          </w:r>
          <w:r>
            <w:rPr>
              <w:rFonts w:hint="eastAsia" w:ascii="Times New Roman" w:hAnsi="Times New Roman" w:eastAsia="仿宋_GB2312" w:cs="宋体"/>
              <w:bCs w:val="0"/>
              <w:sz w:val="30"/>
              <w:szCs w:val="30"/>
            </w:rPr>
            <w:t>（3）社会效益</w:t>
          </w:r>
          <w:r>
            <w:rPr>
              <w:rFonts w:ascii="Times New Roman" w:hAnsi="Times New Roman" w:eastAsia="仿宋_GB2312" w:cs="宋体"/>
              <w:bCs w:val="0"/>
              <w:sz w:val="30"/>
              <w:szCs w:val="30"/>
            </w:rPr>
            <w:tab/>
          </w:r>
          <w:r>
            <w:rPr>
              <w:rFonts w:ascii="Times New Roman" w:hAnsi="Times New Roman" w:eastAsia="仿宋_GB2312" w:cs="宋体"/>
              <w:bCs w:val="0"/>
              <w:sz w:val="30"/>
              <w:szCs w:val="30"/>
            </w:rPr>
            <w:fldChar w:fldCharType="begin"/>
          </w:r>
          <w:r>
            <w:rPr>
              <w:rFonts w:ascii="Times New Roman" w:hAnsi="Times New Roman" w:eastAsia="仿宋_GB2312" w:cs="宋体"/>
              <w:bCs w:val="0"/>
              <w:sz w:val="30"/>
              <w:szCs w:val="30"/>
            </w:rPr>
            <w:instrText xml:space="preserve"> PAGEREF _Toc8689 \h </w:instrText>
          </w:r>
          <w:r>
            <w:rPr>
              <w:rFonts w:ascii="Times New Roman" w:hAnsi="Times New Roman" w:eastAsia="仿宋_GB2312" w:cs="宋体"/>
              <w:bCs w:val="0"/>
              <w:sz w:val="30"/>
              <w:szCs w:val="30"/>
            </w:rPr>
            <w:fldChar w:fldCharType="separate"/>
          </w:r>
          <w:r>
            <w:rPr>
              <w:rFonts w:ascii="Times New Roman" w:hAnsi="Times New Roman" w:eastAsia="仿宋_GB2312" w:cs="宋体"/>
              <w:bCs w:val="0"/>
              <w:sz w:val="30"/>
              <w:szCs w:val="30"/>
            </w:rPr>
            <w:t>22</w:t>
          </w:r>
          <w:r>
            <w:rPr>
              <w:rFonts w:ascii="Times New Roman" w:hAnsi="Times New Roman" w:eastAsia="仿宋_GB2312" w:cs="宋体"/>
              <w:bCs w:val="0"/>
              <w:sz w:val="30"/>
              <w:szCs w:val="30"/>
            </w:rPr>
            <w:fldChar w:fldCharType="end"/>
          </w:r>
          <w:r>
            <w:rPr>
              <w:rFonts w:ascii="Times New Roman" w:hAnsi="Times New Roman" w:eastAsia="仿宋_GB2312" w:cs="宋体"/>
              <w:bCs w:val="0"/>
              <w:sz w:val="30"/>
              <w:szCs w:val="30"/>
            </w:rPr>
            <w:fldChar w:fldCharType="end"/>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r>
            <w:rPr>
              <w:rFonts w:ascii="Times New Roman" w:hAnsi="Times New Roman" w:eastAsia="仿宋_GB2312" w:cs="宋体"/>
              <w:bCs w:val="0"/>
              <w:sz w:val="30"/>
              <w:szCs w:val="30"/>
            </w:rPr>
            <w:fldChar w:fldCharType="end"/>
          </w:r>
        </w:p>
      </w:sdtContent>
    </w:sdt>
    <w:p>
      <w:pPr>
        <w:spacing w:line="500" w:lineRule="atLeast"/>
        <w:ind w:left="0" w:leftChars="0" w:firstLine="0" w:firstLineChars="0"/>
        <w:rPr>
          <w:rFonts w:hint="default" w:ascii="Times New Roman" w:hAnsi="Times New Roman" w:eastAsia="仿宋_GB2312" w:cs="Times New Roman"/>
          <w:b/>
          <w:bCs/>
          <w:lang w:val="zh-CN"/>
        </w:rPr>
      </w:pPr>
      <w:r>
        <w:rPr>
          <w:rFonts w:hint="default" w:ascii="Times New Roman" w:hAnsi="Times New Roman" w:eastAsia="仿宋_GB2312" w:cs="Times New Roman"/>
          <w:b/>
          <w:bCs/>
          <w:lang w:val="zh-CN"/>
        </w:rPr>
        <w:t>附表</w:t>
      </w:r>
      <w:r>
        <w:rPr>
          <w:rFonts w:hint="default" w:ascii="Times New Roman" w:hAnsi="Times New Roman" w:cs="Times New Roman"/>
          <w:b/>
          <w:bCs/>
          <w:lang w:val="zh-CN"/>
        </w:rPr>
        <w:t>：</w:t>
      </w:r>
    </w:p>
    <w:p>
      <w:pPr>
        <w:spacing w:line="500" w:lineRule="atLeas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 揭阳市自然保护地整合优化</w:t>
      </w:r>
      <w:r>
        <w:rPr>
          <w:rFonts w:hint="eastAsia" w:cs="Times New Roman"/>
          <w:sz w:val="30"/>
          <w:szCs w:val="30"/>
          <w:lang w:val="en-US" w:eastAsia="zh-CN"/>
        </w:rPr>
        <w:t>方案</w:t>
      </w:r>
      <w:r>
        <w:rPr>
          <w:rFonts w:hint="default" w:ascii="Times New Roman" w:hAnsi="Times New Roman" w:eastAsia="仿宋_GB2312" w:cs="Times New Roman"/>
          <w:sz w:val="30"/>
          <w:szCs w:val="30"/>
        </w:rPr>
        <w:t>一览表</w:t>
      </w:r>
    </w:p>
    <w:p>
      <w:pPr>
        <w:spacing w:line="500" w:lineRule="atLeas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 揭阳市自然保护地整合优化汇总表</w:t>
      </w:r>
    </w:p>
    <w:p>
      <w:pPr>
        <w:pStyle w:val="2"/>
        <w:rPr>
          <w:rFonts w:hint="default" w:ascii="Times New Roman" w:hAnsi="Times New Roman" w:cs="Times New Roman"/>
        </w:rPr>
      </w:pPr>
    </w:p>
    <w:p>
      <w:pPr>
        <w:spacing w:line="500" w:lineRule="atLeast"/>
        <w:ind w:left="0" w:leftChars="0" w:firstLine="0" w:firstLineChars="0"/>
        <w:rPr>
          <w:rFonts w:hint="default" w:ascii="Times New Roman" w:hAnsi="Times New Roman" w:eastAsia="仿宋_GB2312" w:cs="Times New Roman"/>
          <w:b/>
          <w:bCs/>
          <w:lang w:val="zh-CN"/>
        </w:rPr>
      </w:pPr>
      <w:r>
        <w:rPr>
          <w:rFonts w:hint="default" w:ascii="Times New Roman" w:hAnsi="Times New Roman" w:eastAsia="仿宋_GB2312" w:cs="Times New Roman"/>
          <w:b/>
          <w:bCs/>
          <w:lang w:val="zh-CN"/>
        </w:rPr>
        <w:t>附图</w:t>
      </w:r>
      <w:r>
        <w:rPr>
          <w:rFonts w:hint="default" w:ascii="Times New Roman" w:hAnsi="Times New Roman" w:cs="Times New Roman"/>
          <w:b/>
          <w:bCs/>
          <w:lang w:val="zh-CN"/>
        </w:rPr>
        <w:t>：</w:t>
      </w:r>
    </w:p>
    <w:p>
      <w:pPr>
        <w:keepNext w:val="0"/>
        <w:keepLines w:val="0"/>
        <w:pageBreakBefore w:val="0"/>
        <w:widowControl/>
        <w:kinsoku/>
        <w:wordWrap/>
        <w:overflowPunct/>
        <w:topLinePunct w:val="0"/>
        <w:autoSpaceDE/>
        <w:autoSpaceDN/>
        <w:bidi w:val="0"/>
        <w:adjustRightInd/>
        <w:snapToGrid/>
        <w:spacing w:line="560" w:lineRule="exact"/>
        <w:ind w:left="0" w:leftChars="0" w:firstLine="600" w:firstLineChars="200"/>
        <w:jc w:val="both"/>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rPr>
        <w:t>整合优化前自然保护地分布图</w:t>
      </w:r>
    </w:p>
    <w:p>
      <w:pPr>
        <w:keepNext w:val="0"/>
        <w:keepLines w:val="0"/>
        <w:pageBreakBefore w:val="0"/>
        <w:widowControl/>
        <w:kinsoku/>
        <w:wordWrap/>
        <w:overflowPunct/>
        <w:topLinePunct w:val="0"/>
        <w:autoSpaceDE/>
        <w:autoSpaceDN/>
        <w:bidi w:val="0"/>
        <w:adjustRightInd/>
        <w:snapToGrid/>
        <w:spacing w:line="560" w:lineRule="exact"/>
        <w:ind w:left="0" w:leftChars="0" w:firstLine="600" w:firstLineChars="200"/>
        <w:jc w:val="both"/>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2.</w:t>
      </w:r>
      <w:r>
        <w:rPr>
          <w:rFonts w:hint="default" w:ascii="Times New Roman" w:hAnsi="Times New Roman" w:eastAsia="仿宋_GB2312" w:cs="Times New Roman"/>
          <w:sz w:val="30"/>
          <w:szCs w:val="30"/>
        </w:rPr>
        <w:t>整合优化后自然保护地分布图</w:t>
      </w:r>
    </w:p>
    <w:p>
      <w:pPr>
        <w:keepNext w:val="0"/>
        <w:keepLines w:val="0"/>
        <w:pageBreakBefore w:val="0"/>
        <w:widowControl/>
        <w:kinsoku/>
        <w:wordWrap/>
        <w:overflowPunct/>
        <w:topLinePunct w:val="0"/>
        <w:autoSpaceDE/>
        <w:autoSpaceDN/>
        <w:bidi w:val="0"/>
        <w:adjustRightInd/>
        <w:snapToGrid/>
        <w:spacing w:line="560" w:lineRule="exact"/>
        <w:ind w:left="0" w:leftChars="0" w:firstLine="600" w:firstLineChars="200"/>
        <w:jc w:val="both"/>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w:t>
      </w:r>
      <w:r>
        <w:rPr>
          <w:rFonts w:hint="default" w:ascii="Times New Roman" w:hAnsi="Times New Roman" w:eastAsia="仿宋_GB2312" w:cs="Times New Roman"/>
          <w:sz w:val="30"/>
          <w:szCs w:val="30"/>
        </w:rPr>
        <w:t>自然保护地调入图斑分布图</w:t>
      </w:r>
    </w:p>
    <w:p>
      <w:pPr>
        <w:keepNext w:val="0"/>
        <w:keepLines w:val="0"/>
        <w:pageBreakBefore w:val="0"/>
        <w:widowControl/>
        <w:kinsoku/>
        <w:wordWrap/>
        <w:overflowPunct/>
        <w:topLinePunct w:val="0"/>
        <w:autoSpaceDE/>
        <w:autoSpaceDN/>
        <w:bidi w:val="0"/>
        <w:adjustRightInd/>
        <w:snapToGrid/>
        <w:spacing w:line="560" w:lineRule="exact"/>
        <w:ind w:left="0" w:leftChars="0" w:firstLine="600" w:firstLineChars="200"/>
        <w:jc w:val="both"/>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4.</w:t>
      </w:r>
      <w:r>
        <w:rPr>
          <w:rFonts w:hint="default" w:ascii="Times New Roman" w:hAnsi="Times New Roman" w:eastAsia="仿宋_GB2312" w:cs="Times New Roman"/>
          <w:sz w:val="30"/>
          <w:szCs w:val="30"/>
        </w:rPr>
        <w:t>自然保护地调出图斑分布图</w:t>
      </w:r>
    </w:p>
    <w:p>
      <w:pPr>
        <w:keepNext w:val="0"/>
        <w:keepLines w:val="0"/>
        <w:pageBreakBefore w:val="0"/>
        <w:widowControl/>
        <w:kinsoku/>
        <w:wordWrap/>
        <w:overflowPunct/>
        <w:topLinePunct w:val="0"/>
        <w:autoSpaceDE/>
        <w:autoSpaceDN/>
        <w:bidi w:val="0"/>
        <w:adjustRightInd/>
        <w:snapToGrid/>
        <w:spacing w:line="560" w:lineRule="exact"/>
        <w:ind w:left="0" w:leftChars="0" w:firstLine="600" w:firstLineChars="200"/>
        <w:jc w:val="both"/>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5.</w:t>
      </w:r>
      <w:r>
        <w:rPr>
          <w:rFonts w:hint="default" w:ascii="Times New Roman" w:hAnsi="Times New Roman" w:eastAsia="仿宋_GB2312" w:cs="Times New Roman"/>
          <w:sz w:val="30"/>
          <w:szCs w:val="30"/>
        </w:rPr>
        <w:t>自然保护地与生态保护红线分布图</w:t>
      </w:r>
    </w:p>
    <w:p>
      <w:pPr>
        <w:numPr>
          <w:ilvl w:val="-1"/>
          <w:numId w:val="0"/>
        </w:numPr>
        <w:spacing w:line="240" w:lineRule="auto"/>
        <w:ind w:left="0" w:leftChars="0"/>
        <w:jc w:val="left"/>
        <w:rPr>
          <w:rFonts w:ascii="仿宋" w:hAnsi="仿宋" w:eastAsia="仿宋"/>
        </w:rPr>
      </w:pPr>
    </w:p>
    <w:p>
      <w:pPr>
        <w:pStyle w:val="2"/>
        <w:sectPr>
          <w:footerReference r:id="rId9" w:type="default"/>
          <w:pgSz w:w="11910" w:h="16840"/>
          <w:pgMar w:top="2098" w:right="1474" w:bottom="1984" w:left="1587" w:header="0" w:footer="998" w:gutter="0"/>
          <w:pgNumType w:fmt="upperRoman" w:start="1"/>
          <w:cols w:space="425" w:num="1"/>
          <w:docGrid w:linePitch="299" w:charSpace="0"/>
        </w:sectPr>
      </w:pPr>
    </w:p>
    <w:p>
      <w:pPr>
        <w:pStyle w:val="3"/>
        <w:adjustRightInd w:val="0"/>
        <w:snapToGrid w:val="0"/>
        <w:spacing w:before="0" w:after="0" w:line="600" w:lineRule="atLeast"/>
        <w:ind w:firstLine="643" w:firstLineChars="200"/>
        <w:rPr>
          <w:rFonts w:ascii="黑体" w:hAnsi="黑体" w:eastAsia="黑体"/>
          <w:sz w:val="32"/>
          <w:szCs w:val="32"/>
        </w:rPr>
      </w:pPr>
      <w:bookmarkStart w:id="12" w:name="_Toc13780"/>
      <w:bookmarkStart w:id="13" w:name="_Toc9528"/>
      <w:bookmarkStart w:id="14" w:name="_Toc118716348"/>
      <w:bookmarkStart w:id="15" w:name="_Toc27390"/>
      <w:bookmarkStart w:id="16" w:name="_Toc10700"/>
      <w:r>
        <w:rPr>
          <w:rFonts w:hint="eastAsia" w:ascii="黑体" w:hAnsi="黑体" w:eastAsia="黑体"/>
          <w:sz w:val="32"/>
          <w:szCs w:val="32"/>
        </w:rPr>
        <w:t>一、自然保护地现状</w:t>
      </w:r>
      <w:bookmarkEnd w:id="12"/>
      <w:bookmarkEnd w:id="13"/>
      <w:bookmarkEnd w:id="14"/>
      <w:bookmarkEnd w:id="15"/>
      <w:bookmarkEnd w:id="16"/>
    </w:p>
    <w:p>
      <w:pPr>
        <w:bidi w:val="0"/>
        <w:rPr>
          <w:rFonts w:hint="eastAsia"/>
        </w:rPr>
      </w:pPr>
      <w:r>
        <w:rPr>
          <w:rFonts w:hint="eastAsia"/>
        </w:rPr>
        <w:t>经2019年广东省自然保护地摸底调查填报数据核定，</w:t>
      </w:r>
      <w:r>
        <w:rPr>
          <w:rFonts w:hint="eastAsia"/>
          <w:lang w:val="en-US" w:eastAsia="zh-CN"/>
        </w:rPr>
        <w:t>揭阳市</w:t>
      </w:r>
      <w:r>
        <w:rPr>
          <w:rFonts w:hint="eastAsia"/>
        </w:rPr>
        <w:t>现有自然保护地</w:t>
      </w:r>
      <w:r>
        <w:rPr>
          <w:rFonts w:hint="eastAsia"/>
          <w:lang w:val="en-US" w:eastAsia="zh-CN"/>
        </w:rPr>
        <w:t>23</w:t>
      </w:r>
      <w:r>
        <w:rPr>
          <w:rFonts w:hint="eastAsia"/>
        </w:rPr>
        <w:t>处，在包含交叉重叠面积的情况下，批复自然保护地总面积46493.59万公顷，根据批复矢量化后面积为42131.47公顷，剔除交叉重叠后总面积36948.77公顷，矢量交叉重叠面积5182.70公顷。</w:t>
      </w:r>
    </w:p>
    <w:p>
      <w:pPr>
        <w:bidi w:val="0"/>
        <w:rPr>
          <w:rFonts w:hint="eastAsia"/>
        </w:rPr>
      </w:pPr>
      <w:r>
        <w:rPr>
          <w:rFonts w:hint="eastAsia"/>
        </w:rPr>
        <w:t>按自然保护地类型分，有自然保护区7个，面积33364.62公顷，占全市自然保护地总面积的71.76%，占全市陆域面积的6.37%；自</w:t>
      </w:r>
      <w:r>
        <w:rPr>
          <w:rFonts w:hint="eastAsia"/>
          <w:highlight w:val="none"/>
          <w:shd w:val="clear"/>
        </w:rPr>
        <w:t>然公园16个，面积13128.97公顷，占全市自然保护地总面积的28.24%，</w:t>
      </w:r>
      <w:r>
        <w:rPr>
          <w:rFonts w:hint="eastAsia"/>
        </w:rPr>
        <w:t>占陆域面积的2.50%，其中包括森林公园11个，面积8569.17公顷；湿地公园4个，面积1619.80公顷；地质公园1个，面积2940公顷。。</w:t>
      </w:r>
    </w:p>
    <w:p>
      <w:pPr>
        <w:bidi w:val="0"/>
        <w:rPr>
          <w:rFonts w:hint="default"/>
        </w:rPr>
      </w:pPr>
      <w:r>
        <w:rPr>
          <w:rFonts w:hint="eastAsia"/>
        </w:rPr>
        <w:t>按自然保护地级别分，有国家级1个，面积3067.20公顷，占全市自然保护地总面积的6.60%；地方级有22个，面积43426.39公顷，占全市自然保护总面积的93.40%，其中包括省级3个，面积10528.29公顷；市级3个，面积8637.60公顷；县级16个，面积24260.50公顷。具体情况见表1-</w:t>
      </w:r>
      <w:r>
        <w:rPr>
          <w:rFonts w:hint="eastAsia"/>
          <w:lang w:val="en-US" w:eastAsia="zh-CN"/>
        </w:rPr>
        <w:t>1</w:t>
      </w:r>
      <w:r>
        <w:rPr>
          <w:rFonts w:hint="eastAsia"/>
        </w:rPr>
        <w:t>。</w:t>
      </w:r>
    </w:p>
    <w:p>
      <w:pPr>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表1-</w:t>
      </w:r>
      <w:r>
        <w:rPr>
          <w:rFonts w:hint="eastAsia" w:ascii="黑体" w:hAnsi="黑体" w:eastAsia="黑体" w:cs="黑体"/>
          <w:b w:val="0"/>
          <w:bCs w:val="0"/>
          <w:sz w:val="28"/>
          <w:szCs w:val="28"/>
          <w:lang w:val="en-US" w:eastAsia="zh-CN"/>
        </w:rPr>
        <w:t>1</w:t>
      </w:r>
      <w:r>
        <w:rPr>
          <w:rFonts w:hint="eastAsia" w:ascii="黑体" w:hAnsi="黑体" w:eastAsia="黑体" w:cs="黑体"/>
          <w:b w:val="0"/>
          <w:bCs w:val="0"/>
          <w:sz w:val="28"/>
          <w:szCs w:val="28"/>
        </w:rPr>
        <w:t xml:space="preserve"> </w:t>
      </w:r>
      <w:r>
        <w:rPr>
          <w:rFonts w:hint="eastAsia" w:ascii="黑体" w:hAnsi="黑体" w:eastAsia="黑体" w:cs="黑体"/>
          <w:b w:val="0"/>
          <w:bCs w:val="0"/>
          <w:sz w:val="28"/>
          <w:szCs w:val="28"/>
          <w:lang w:val="en-US" w:eastAsia="zh-CN"/>
        </w:rPr>
        <w:t>揭阳市</w:t>
      </w:r>
      <w:r>
        <w:rPr>
          <w:rFonts w:hint="eastAsia" w:ascii="黑体" w:hAnsi="黑体" w:eastAsia="黑体" w:cs="黑体"/>
          <w:b w:val="0"/>
          <w:bCs w:val="0"/>
          <w:sz w:val="28"/>
          <w:szCs w:val="28"/>
        </w:rPr>
        <w:t>自然保护地现状汇总表</w:t>
      </w:r>
    </w:p>
    <w:tbl>
      <w:tblPr>
        <w:tblStyle w:val="17"/>
        <w:tblW w:w="4997" w:type="pct"/>
        <w:jc w:val="center"/>
        <w:shd w:val="clear" w:color="auto" w:fill="auto"/>
        <w:tblLayout w:type="autofit"/>
        <w:tblCellMar>
          <w:top w:w="0" w:type="dxa"/>
          <w:left w:w="108" w:type="dxa"/>
          <w:bottom w:w="0" w:type="dxa"/>
          <w:right w:w="108" w:type="dxa"/>
        </w:tblCellMar>
      </w:tblPr>
      <w:tblGrid>
        <w:gridCol w:w="877"/>
        <w:gridCol w:w="2370"/>
        <w:gridCol w:w="1080"/>
        <w:gridCol w:w="1320"/>
        <w:gridCol w:w="1099"/>
        <w:gridCol w:w="1099"/>
        <w:gridCol w:w="1100"/>
      </w:tblGrid>
      <w:tr>
        <w:tblPrEx>
          <w:shd w:val="clear" w:color="auto" w:fill="auto"/>
          <w:tblCellMar>
            <w:top w:w="0" w:type="dxa"/>
            <w:left w:w="108" w:type="dxa"/>
            <w:bottom w:w="0" w:type="dxa"/>
            <w:right w:w="108" w:type="dxa"/>
          </w:tblCellMar>
        </w:tblPrEx>
        <w:trPr>
          <w:trHeight w:val="340" w:hRule="atLeast"/>
          <w:tblHeader/>
          <w:jc w:val="center"/>
        </w:trPr>
        <w:tc>
          <w:tcPr>
            <w:tcW w:w="18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自然保护地类型</w:t>
            </w:r>
          </w:p>
        </w:tc>
        <w:tc>
          <w:tcPr>
            <w:tcW w:w="603"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合计</w:t>
            </w:r>
          </w:p>
        </w:tc>
        <w:tc>
          <w:tcPr>
            <w:tcW w:w="73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自然保护区</w:t>
            </w:r>
          </w:p>
        </w:tc>
        <w:tc>
          <w:tcPr>
            <w:tcW w:w="61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森林公园</w:t>
            </w:r>
          </w:p>
        </w:tc>
        <w:tc>
          <w:tcPr>
            <w:tcW w:w="61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湿地公园</w:t>
            </w:r>
          </w:p>
        </w:tc>
        <w:tc>
          <w:tcPr>
            <w:tcW w:w="61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kern w:val="0"/>
                <w:sz w:val="21"/>
                <w:szCs w:val="21"/>
                <w:highlight w:val="none"/>
              </w:rPr>
            </w:pPr>
            <w:r>
              <w:rPr>
                <w:b/>
                <w:bCs/>
                <w:kern w:val="0"/>
                <w:sz w:val="21"/>
                <w:szCs w:val="21"/>
                <w:highlight w:val="none"/>
              </w:rPr>
              <w:t>地质公园</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合计</w:t>
            </w:r>
          </w:p>
        </w:tc>
        <w:tc>
          <w:tcPr>
            <w:tcW w:w="132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个数</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23</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7</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11</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4</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kern w:val="0"/>
                <w:sz w:val="21"/>
                <w:szCs w:val="21"/>
                <w:highlight w:val="none"/>
              </w:rPr>
            </w:pPr>
          </w:p>
        </w:tc>
        <w:tc>
          <w:tcPr>
            <w:tcW w:w="132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面积（公顷）</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46493.59</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33364.62</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8569.17</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1619.8</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2940</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kern w:val="0"/>
                <w:sz w:val="21"/>
                <w:szCs w:val="21"/>
                <w:highlight w:val="none"/>
              </w:rPr>
            </w:pPr>
          </w:p>
        </w:tc>
        <w:tc>
          <w:tcPr>
            <w:tcW w:w="132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占保护地面积（%）</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100</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 xml:space="preserve">71.76 </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 xml:space="preserve">18.43 </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 xml:space="preserve">3.48 </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 xml:space="preserve">6.32 </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kern w:val="0"/>
                <w:sz w:val="21"/>
                <w:szCs w:val="21"/>
                <w:highlight w:val="none"/>
              </w:rPr>
            </w:pPr>
          </w:p>
        </w:tc>
        <w:tc>
          <w:tcPr>
            <w:tcW w:w="132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占全市陆域面积（%）</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 xml:space="preserve">8.87 </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 xml:space="preserve">6.37 </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 xml:space="preserve">1.64 </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 xml:space="preserve">0.31 </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 xml:space="preserve">0.56 </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国家级</w:t>
            </w:r>
          </w:p>
        </w:tc>
        <w:tc>
          <w:tcPr>
            <w:tcW w:w="132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个数</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kern w:val="0"/>
                <w:sz w:val="21"/>
                <w:szCs w:val="21"/>
                <w:highlight w:val="none"/>
              </w:rPr>
            </w:pPr>
          </w:p>
        </w:tc>
        <w:tc>
          <w:tcPr>
            <w:tcW w:w="132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面积（公顷）</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3067.2</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3067.2</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省级</w:t>
            </w:r>
          </w:p>
        </w:tc>
        <w:tc>
          <w:tcPr>
            <w:tcW w:w="132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个数</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3</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kern w:val="0"/>
                <w:sz w:val="21"/>
                <w:szCs w:val="21"/>
                <w:highlight w:val="none"/>
              </w:rPr>
            </w:pPr>
          </w:p>
        </w:tc>
        <w:tc>
          <w:tcPr>
            <w:tcW w:w="132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面积（公顷）</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10528.29</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6713.22</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875.07</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2940</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市级</w:t>
            </w:r>
          </w:p>
        </w:tc>
        <w:tc>
          <w:tcPr>
            <w:tcW w:w="132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个数</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3</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kern w:val="0"/>
                <w:sz w:val="21"/>
                <w:szCs w:val="21"/>
                <w:highlight w:val="none"/>
              </w:rPr>
            </w:pPr>
          </w:p>
        </w:tc>
        <w:tc>
          <w:tcPr>
            <w:tcW w:w="132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面积（公顷）</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8637.6</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7056.2</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1560</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21.4</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县级</w:t>
            </w:r>
          </w:p>
        </w:tc>
        <w:tc>
          <w:tcPr>
            <w:tcW w:w="132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1"/>
                <w:szCs w:val="21"/>
                <w:highlight w:val="none"/>
              </w:rPr>
            </w:pPr>
            <w:r>
              <w:rPr>
                <w:kern w:val="0"/>
                <w:sz w:val="21"/>
                <w:szCs w:val="21"/>
                <w:highlight w:val="none"/>
              </w:rPr>
              <w:t>个数</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16</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5</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8</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3</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r>
      <w:tr>
        <w:tblPrEx>
          <w:shd w:val="clear" w:color="auto" w:fill="auto"/>
          <w:tblCellMar>
            <w:top w:w="0" w:type="dxa"/>
            <w:left w:w="108" w:type="dxa"/>
            <w:bottom w:w="0" w:type="dxa"/>
            <w:right w:w="108" w:type="dxa"/>
          </w:tblCellMar>
        </w:tblPrEx>
        <w:trPr>
          <w:trHeight w:val="340" w:hRule="atLeast"/>
          <w:jc w:val="center"/>
        </w:trPr>
        <w:tc>
          <w:tcPr>
            <w:tcW w:w="490"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kern w:val="0"/>
                <w:sz w:val="21"/>
                <w:szCs w:val="21"/>
                <w:highlight w:val="none"/>
              </w:rPr>
            </w:pPr>
          </w:p>
        </w:tc>
        <w:tc>
          <w:tcPr>
            <w:tcW w:w="132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kern w:val="0"/>
                <w:sz w:val="21"/>
                <w:szCs w:val="21"/>
                <w:highlight w:val="none"/>
              </w:rPr>
            </w:pPr>
            <w:r>
              <w:rPr>
                <w:kern w:val="0"/>
                <w:sz w:val="21"/>
                <w:szCs w:val="21"/>
                <w:highlight w:val="none"/>
              </w:rPr>
              <w:t>面积（公顷）</w:t>
            </w:r>
          </w:p>
        </w:tc>
        <w:tc>
          <w:tcPr>
            <w:tcW w:w="6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24260.5</w:t>
            </w:r>
          </w:p>
        </w:tc>
        <w:tc>
          <w:tcPr>
            <w:tcW w:w="73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19595.2</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3066.9</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1598.4</w:t>
            </w:r>
          </w:p>
        </w:tc>
        <w:tc>
          <w:tcPr>
            <w:tcW w:w="6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kern w:val="0"/>
                <w:sz w:val="22"/>
                <w:highlight w:val="none"/>
              </w:rPr>
            </w:pPr>
            <w:r>
              <w:rPr>
                <w:kern w:val="0"/>
                <w:sz w:val="22"/>
                <w:highlight w:val="none"/>
              </w:rPr>
              <w:t>—</w:t>
            </w:r>
          </w:p>
        </w:tc>
      </w:tr>
    </w:tbl>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sz w:val="22"/>
          <w:szCs w:val="22"/>
          <w:lang w:val="en-US" w:eastAsia="zh-CN"/>
        </w:rPr>
      </w:pPr>
      <w:bookmarkStart w:id="17" w:name="_Toc118716349"/>
      <w:bookmarkStart w:id="18" w:name="_Toc18710"/>
      <w:bookmarkStart w:id="19" w:name="_Toc27045"/>
      <w:r>
        <w:rPr>
          <w:rFonts w:hint="eastAsia"/>
          <w:sz w:val="22"/>
          <w:szCs w:val="22"/>
          <w:lang w:val="en-US" w:eastAsia="zh-CN"/>
        </w:rPr>
        <w:t>注：面积为各保护地批复文件的面积。</w:t>
      </w:r>
    </w:p>
    <w:p>
      <w:pPr>
        <w:pStyle w:val="4"/>
        <w:keepNext w:val="0"/>
        <w:keepLines w:val="0"/>
        <w:widowControl w:val="0"/>
        <w:adjustRightInd w:val="0"/>
        <w:snapToGrid w:val="0"/>
        <w:spacing w:before="0" w:after="0" w:line="578" w:lineRule="atLeast"/>
        <w:ind w:firstLine="643" w:firstLineChars="200"/>
        <w:jc w:val="both"/>
        <w:rPr>
          <w:rFonts w:hint="eastAsia" w:ascii="黑体" w:hAnsi="黑体" w:eastAsia="黑体" w:cs="黑体"/>
        </w:rPr>
      </w:pPr>
      <w:bookmarkStart w:id="20" w:name="_Toc28174"/>
      <w:bookmarkStart w:id="21" w:name="_Toc14138"/>
      <w:r>
        <w:rPr>
          <w:rFonts w:hint="eastAsia" w:ascii="黑体" w:hAnsi="黑体" w:eastAsia="黑体" w:cs="黑体"/>
        </w:rPr>
        <w:t>（一）主要问题</w:t>
      </w:r>
      <w:bookmarkEnd w:id="17"/>
      <w:bookmarkEnd w:id="18"/>
      <w:bookmarkEnd w:id="19"/>
      <w:bookmarkEnd w:id="20"/>
      <w:bookmarkEnd w:id="21"/>
    </w:p>
    <w:p>
      <w:pPr>
        <w:pStyle w:val="5"/>
        <w:keepNext w:val="0"/>
        <w:keepLines w:val="0"/>
        <w:adjustRightInd w:val="0"/>
        <w:snapToGrid w:val="0"/>
        <w:spacing w:before="0" w:after="0" w:line="578" w:lineRule="atLeast"/>
        <w:ind w:firstLine="643" w:firstLineChars="200"/>
        <w:rPr>
          <w:rFonts w:ascii="仿宋" w:hAnsi="仿宋" w:eastAsia="仿宋"/>
        </w:rPr>
      </w:pPr>
      <w:bookmarkStart w:id="22" w:name="_Toc6393"/>
      <w:bookmarkStart w:id="23" w:name="_Toc12894"/>
      <w:bookmarkStart w:id="24" w:name="_Toc118716350"/>
      <w:bookmarkStart w:id="25" w:name="_Toc25406"/>
      <w:bookmarkStart w:id="26" w:name="_Toc29983"/>
      <w:r>
        <w:rPr>
          <w:rFonts w:ascii="仿宋" w:hAnsi="仿宋" w:eastAsia="仿宋"/>
        </w:rPr>
        <w:t>1</w:t>
      </w:r>
      <w:r>
        <w:rPr>
          <w:rFonts w:hint="eastAsia" w:ascii="仿宋" w:hAnsi="仿宋" w:eastAsia="仿宋"/>
        </w:rPr>
        <w:t>.</w:t>
      </w:r>
      <w:r>
        <w:rPr>
          <w:rFonts w:hint="eastAsia" w:ascii="方正仿宋_GBK" w:hAnsi="华文仿宋" w:eastAsia="方正仿宋_GBK" w:cs="仿宋_GB2312"/>
        </w:rPr>
        <w:t xml:space="preserve"> </w:t>
      </w:r>
      <w:r>
        <w:rPr>
          <w:rFonts w:hint="eastAsia" w:ascii="仿宋" w:hAnsi="仿宋" w:eastAsia="仿宋"/>
        </w:rPr>
        <w:t>边界范围底数不清</w:t>
      </w:r>
      <w:bookmarkEnd w:id="22"/>
      <w:bookmarkEnd w:id="23"/>
      <w:bookmarkEnd w:id="24"/>
      <w:bookmarkEnd w:id="25"/>
      <w:bookmarkEnd w:id="26"/>
    </w:p>
    <w:p>
      <w:pPr>
        <w:bidi w:val="0"/>
      </w:pPr>
      <w:r>
        <w:rPr>
          <w:rFonts w:hint="eastAsia"/>
        </w:rPr>
        <w:t>各级各类自然保护地，设立的历史条件不等，众多的自然保护地分布于边远落后地区，建设管理投入不足、基础设施设备落后、保护管理水平不高、执法监督能力不够等问题较为普遍。很多自然保护地边界范围底数不清，自设立以来甚至从未勘定边界、真正落地。</w:t>
      </w:r>
    </w:p>
    <w:p>
      <w:pPr>
        <w:pStyle w:val="5"/>
        <w:keepNext w:val="0"/>
        <w:keepLines w:val="0"/>
        <w:adjustRightInd w:val="0"/>
        <w:snapToGrid w:val="0"/>
        <w:spacing w:before="0" w:after="0" w:line="578" w:lineRule="atLeast"/>
        <w:ind w:firstLine="643" w:firstLineChars="200"/>
        <w:rPr>
          <w:rFonts w:ascii="仿宋" w:hAnsi="仿宋" w:eastAsia="仿宋"/>
        </w:rPr>
      </w:pPr>
      <w:bookmarkStart w:id="27" w:name="_Toc24919"/>
      <w:bookmarkStart w:id="28" w:name="_Toc3225"/>
      <w:bookmarkStart w:id="29" w:name="_Toc18032"/>
      <w:bookmarkStart w:id="30" w:name="_Toc20388"/>
      <w:bookmarkStart w:id="31" w:name="_Toc118716351"/>
      <w:r>
        <w:rPr>
          <w:rFonts w:hint="eastAsia" w:ascii="仿宋" w:hAnsi="仿宋" w:eastAsia="仿宋"/>
        </w:rPr>
        <w:t>2.</w:t>
      </w:r>
      <w:r>
        <w:rPr>
          <w:rFonts w:hint="default" w:ascii="仿宋" w:hAnsi="仿宋" w:eastAsia="仿宋" w:cs="Times New Roman"/>
        </w:rPr>
        <w:t xml:space="preserve"> </w:t>
      </w:r>
      <w:r>
        <w:rPr>
          <w:rFonts w:hint="eastAsia" w:ascii="仿宋" w:hAnsi="仿宋" w:eastAsia="仿宋"/>
        </w:rPr>
        <w:t>区域交叉空间重叠</w:t>
      </w:r>
      <w:bookmarkEnd w:id="27"/>
      <w:bookmarkEnd w:id="28"/>
      <w:bookmarkEnd w:id="29"/>
      <w:bookmarkEnd w:id="30"/>
      <w:bookmarkEnd w:id="31"/>
    </w:p>
    <w:p>
      <w:pPr>
        <w:bidi w:val="0"/>
      </w:pPr>
      <w:r>
        <w:rPr>
          <w:rFonts w:hint="eastAsia"/>
        </w:rPr>
        <w:t>自然保护地重叠设置、多头管理现象普遍，权责不清，严重影响管理效能。在同一区域设立了不同层级、隶属不同行业管理的多个管理机构，造成管理机构和权限交叉重叠、一地多牌、政出多门等问题。经空间套合分析，</w:t>
      </w:r>
      <w:r>
        <w:rPr>
          <w:rFonts w:hint="eastAsia"/>
          <w:lang w:val="en-US" w:eastAsia="zh-CN"/>
        </w:rPr>
        <w:t>6</w:t>
      </w:r>
      <w:r>
        <w:rPr>
          <w:rFonts w:hint="eastAsia"/>
        </w:rPr>
        <w:t>个自然保护地涉及空间重叠，占</w:t>
      </w:r>
      <w:r>
        <w:rPr>
          <w:rFonts w:hint="eastAsia"/>
          <w:lang w:val="en-US" w:eastAsia="zh-CN"/>
        </w:rPr>
        <w:t>揭阳市</w:t>
      </w:r>
      <w:r>
        <w:rPr>
          <w:rFonts w:hint="eastAsia"/>
        </w:rPr>
        <w:t>自然保护地总数的</w:t>
      </w:r>
      <w:r>
        <w:rPr>
          <w:rFonts w:hint="eastAsia"/>
          <w:lang w:val="en-US" w:eastAsia="zh-CN"/>
        </w:rPr>
        <w:t>23.77%</w:t>
      </w:r>
      <w:r>
        <w:rPr>
          <w:rFonts w:hint="eastAsia"/>
        </w:rPr>
        <w:t>。</w:t>
      </w:r>
    </w:p>
    <w:p>
      <w:pPr>
        <w:pStyle w:val="5"/>
        <w:keepNext w:val="0"/>
        <w:keepLines w:val="0"/>
        <w:adjustRightInd w:val="0"/>
        <w:snapToGrid w:val="0"/>
        <w:spacing w:before="0" w:after="0" w:line="578" w:lineRule="atLeast"/>
        <w:ind w:firstLine="643" w:firstLineChars="200"/>
        <w:rPr>
          <w:rFonts w:ascii="仿宋" w:hAnsi="仿宋" w:eastAsia="仿宋"/>
        </w:rPr>
      </w:pPr>
      <w:bookmarkStart w:id="32" w:name="_Toc9518"/>
      <w:bookmarkStart w:id="33" w:name="_Toc118716352"/>
      <w:bookmarkStart w:id="34" w:name="_Toc15502"/>
      <w:bookmarkStart w:id="35" w:name="_Toc16268"/>
      <w:bookmarkStart w:id="36" w:name="_Toc1953"/>
      <w:r>
        <w:rPr>
          <w:rFonts w:hint="eastAsia" w:ascii="仿宋" w:hAnsi="仿宋" w:eastAsia="仿宋"/>
        </w:rPr>
        <w:t>3.</w:t>
      </w:r>
      <w:r>
        <w:rPr>
          <w:rFonts w:hint="default" w:ascii="仿宋" w:hAnsi="仿宋" w:eastAsia="仿宋" w:cs="Times New Roman"/>
        </w:rPr>
        <w:t xml:space="preserve"> </w:t>
      </w:r>
      <w:r>
        <w:rPr>
          <w:rFonts w:hint="eastAsia" w:ascii="仿宋" w:hAnsi="仿宋" w:eastAsia="仿宋"/>
        </w:rPr>
        <w:t>矛盾冲突点多面广</w:t>
      </w:r>
      <w:bookmarkEnd w:id="32"/>
      <w:bookmarkEnd w:id="33"/>
      <w:bookmarkEnd w:id="34"/>
      <w:bookmarkEnd w:id="35"/>
      <w:bookmarkEnd w:id="36"/>
    </w:p>
    <w:p>
      <w:pPr>
        <w:bidi w:val="0"/>
      </w:pPr>
      <w:r>
        <w:rPr>
          <w:rFonts w:hint="eastAsia"/>
        </w:rPr>
        <w:t>自然保护地在有效保护自然资源、生态系统和生物多样性等方面发挥了主体作用，但也积累了很多历史遗留问题，存在大量城镇、村庄、开发区、耕地、矿业权、人工商品林等空间矛盾冲突，城乡发展、基础设施建设、工农业生产、居民生活与保护管理矛盾冲突尖锐，严重影响依法科学高效保护管理，制约经济社会发展。</w:t>
      </w:r>
    </w:p>
    <w:p>
      <w:pPr>
        <w:pStyle w:val="5"/>
        <w:keepNext w:val="0"/>
        <w:keepLines w:val="0"/>
        <w:adjustRightInd w:val="0"/>
        <w:snapToGrid w:val="0"/>
        <w:spacing w:before="0" w:after="0" w:line="578" w:lineRule="atLeast"/>
        <w:ind w:firstLine="643" w:firstLineChars="200"/>
        <w:rPr>
          <w:rFonts w:ascii="仿宋" w:hAnsi="仿宋" w:eastAsia="仿宋"/>
        </w:rPr>
      </w:pPr>
      <w:bookmarkStart w:id="37" w:name="_Toc8556"/>
      <w:bookmarkStart w:id="38" w:name="_Toc1298"/>
      <w:bookmarkStart w:id="39" w:name="_Toc29524"/>
      <w:bookmarkStart w:id="40" w:name="_Toc118716353"/>
      <w:bookmarkStart w:id="41" w:name="_Toc7914"/>
      <w:r>
        <w:rPr>
          <w:rFonts w:hint="eastAsia" w:ascii="仿宋" w:hAnsi="仿宋" w:eastAsia="仿宋"/>
        </w:rPr>
        <w:t>4. 空间布局不尽合理</w:t>
      </w:r>
      <w:bookmarkEnd w:id="37"/>
      <w:bookmarkEnd w:id="38"/>
      <w:bookmarkEnd w:id="39"/>
      <w:bookmarkEnd w:id="40"/>
      <w:bookmarkEnd w:id="41"/>
    </w:p>
    <w:p>
      <w:pPr>
        <w:bidi w:val="0"/>
      </w:pPr>
      <w:r>
        <w:rPr>
          <w:rFonts w:hint="eastAsia"/>
        </w:rPr>
        <w:t>自然保护地一直由地方自愿申请、经上级批准而设立，缺少顶层设计，系统布局不够，存在保护空缺。部分典型生态系统的分布区域、野生植物关键生境、野生动物重要栖息地，以及具有重要科学、美学、科普教育价值的地质遗迹等尚未纳入自然保护地范围受到保护。</w:t>
      </w:r>
    </w:p>
    <w:p>
      <w:pPr>
        <w:pStyle w:val="4"/>
        <w:keepNext w:val="0"/>
        <w:keepLines w:val="0"/>
        <w:widowControl w:val="0"/>
        <w:adjustRightInd w:val="0"/>
        <w:snapToGrid w:val="0"/>
        <w:spacing w:before="0" w:after="0" w:line="578" w:lineRule="atLeast"/>
        <w:ind w:firstLine="643" w:firstLineChars="200"/>
        <w:jc w:val="both"/>
        <w:rPr>
          <w:rFonts w:hint="eastAsia" w:ascii="黑体" w:hAnsi="黑体" w:eastAsia="黑体" w:cs="黑体"/>
        </w:rPr>
      </w:pPr>
      <w:bookmarkStart w:id="42" w:name="_Toc118716354"/>
      <w:bookmarkStart w:id="43" w:name="_Toc10497"/>
      <w:bookmarkStart w:id="44" w:name="_Toc30280"/>
      <w:bookmarkStart w:id="45" w:name="_Toc5918"/>
      <w:bookmarkStart w:id="46" w:name="_Toc26450"/>
      <w:r>
        <w:rPr>
          <w:rFonts w:hint="eastAsia" w:ascii="黑体" w:hAnsi="黑体" w:eastAsia="黑体" w:cs="黑体"/>
        </w:rPr>
        <w:t>（二）自然保护地面积</w:t>
      </w:r>
      <w:bookmarkEnd w:id="42"/>
      <w:bookmarkEnd w:id="43"/>
      <w:bookmarkEnd w:id="44"/>
      <w:bookmarkEnd w:id="45"/>
      <w:bookmarkEnd w:id="46"/>
    </w:p>
    <w:p>
      <w:pPr>
        <w:pStyle w:val="5"/>
        <w:keepNext w:val="0"/>
        <w:keepLines w:val="0"/>
        <w:adjustRightInd w:val="0"/>
        <w:snapToGrid w:val="0"/>
        <w:spacing w:before="0" w:after="0" w:line="578" w:lineRule="atLeast"/>
        <w:ind w:firstLine="643" w:firstLineChars="200"/>
        <w:rPr>
          <w:rFonts w:ascii="仿宋" w:hAnsi="仿宋" w:eastAsia="仿宋"/>
        </w:rPr>
      </w:pPr>
      <w:bookmarkStart w:id="47" w:name="_Toc17915"/>
      <w:bookmarkStart w:id="48" w:name="_Toc118716355"/>
      <w:bookmarkStart w:id="49" w:name="_Toc4011"/>
      <w:bookmarkStart w:id="50" w:name="_Toc6547"/>
      <w:bookmarkStart w:id="51" w:name="_Toc4655"/>
      <w:r>
        <w:rPr>
          <w:rFonts w:ascii="仿宋" w:hAnsi="仿宋" w:eastAsia="仿宋"/>
        </w:rPr>
        <w:t>1</w:t>
      </w:r>
      <w:r>
        <w:rPr>
          <w:rFonts w:hint="eastAsia" w:ascii="仿宋" w:hAnsi="仿宋" w:eastAsia="仿宋"/>
        </w:rPr>
        <w:t>.</w:t>
      </w:r>
      <w:r>
        <w:rPr>
          <w:rFonts w:hint="default" w:ascii="仿宋" w:hAnsi="仿宋" w:eastAsia="仿宋" w:cs="Times New Roman"/>
        </w:rPr>
        <w:t xml:space="preserve"> </w:t>
      </w:r>
      <w:r>
        <w:rPr>
          <w:rFonts w:hint="eastAsia" w:ascii="仿宋" w:hAnsi="仿宋" w:eastAsia="仿宋"/>
        </w:rPr>
        <w:t>批复面积</w:t>
      </w:r>
      <w:bookmarkEnd w:id="47"/>
      <w:bookmarkEnd w:id="48"/>
      <w:bookmarkEnd w:id="49"/>
      <w:bookmarkEnd w:id="50"/>
      <w:bookmarkEnd w:id="51"/>
    </w:p>
    <w:p>
      <w:pPr>
        <w:bidi w:val="0"/>
        <w:rPr>
          <w:rFonts w:hint="eastAsia"/>
        </w:rPr>
      </w:pPr>
      <w:r>
        <w:rPr>
          <w:rFonts w:hint="eastAsia"/>
        </w:rPr>
        <w:t>以</w:t>
      </w:r>
      <w:r>
        <w:rPr>
          <w:rFonts w:hint="eastAsia"/>
          <w:lang w:val="en-US" w:eastAsia="zh-CN"/>
        </w:rPr>
        <w:t>23</w:t>
      </w:r>
      <w:r>
        <w:rPr>
          <w:rFonts w:hint="eastAsia"/>
        </w:rPr>
        <w:t>个自然保护地申报和批复文件为依据进行统计，自然保护地总面积</w:t>
      </w:r>
      <w:r>
        <w:rPr>
          <w:rFonts w:hint="eastAsia"/>
          <w:lang w:val="en-US" w:eastAsia="zh-CN"/>
        </w:rPr>
        <w:t>46493.59</w:t>
      </w:r>
      <w:r>
        <w:rPr>
          <w:rFonts w:hint="eastAsia"/>
        </w:rPr>
        <w:t>公顷。</w:t>
      </w:r>
    </w:p>
    <w:p>
      <w:pPr>
        <w:pStyle w:val="5"/>
        <w:keepNext w:val="0"/>
        <w:keepLines w:val="0"/>
        <w:adjustRightInd w:val="0"/>
        <w:snapToGrid w:val="0"/>
        <w:spacing w:before="0" w:after="0" w:line="578" w:lineRule="atLeast"/>
        <w:ind w:firstLine="643" w:firstLineChars="200"/>
        <w:rPr>
          <w:rFonts w:ascii="仿宋" w:hAnsi="仿宋" w:eastAsia="仿宋"/>
        </w:rPr>
      </w:pPr>
      <w:bookmarkStart w:id="52" w:name="_Toc22172"/>
      <w:bookmarkStart w:id="53" w:name="_Toc1819"/>
      <w:bookmarkStart w:id="54" w:name="_Toc118716356"/>
      <w:bookmarkStart w:id="55" w:name="_Toc17299"/>
      <w:bookmarkStart w:id="56" w:name="_Toc3363"/>
      <w:r>
        <w:rPr>
          <w:rFonts w:ascii="仿宋" w:hAnsi="仿宋" w:eastAsia="仿宋"/>
        </w:rPr>
        <w:t>2</w:t>
      </w:r>
      <w:r>
        <w:rPr>
          <w:rFonts w:hint="eastAsia" w:ascii="仿宋" w:hAnsi="仿宋" w:eastAsia="仿宋"/>
        </w:rPr>
        <w:t>.</w:t>
      </w:r>
      <w:r>
        <w:rPr>
          <w:rFonts w:hint="default" w:ascii="仿宋" w:hAnsi="仿宋" w:eastAsia="仿宋" w:cs="Times New Roman"/>
        </w:rPr>
        <w:t xml:space="preserve"> </w:t>
      </w:r>
      <w:r>
        <w:rPr>
          <w:rFonts w:hint="eastAsia" w:ascii="仿宋" w:hAnsi="仿宋" w:eastAsia="仿宋"/>
        </w:rPr>
        <w:t>矢量面积</w:t>
      </w:r>
      <w:bookmarkEnd w:id="52"/>
      <w:bookmarkEnd w:id="53"/>
      <w:bookmarkEnd w:id="54"/>
      <w:bookmarkEnd w:id="55"/>
      <w:bookmarkEnd w:id="56"/>
    </w:p>
    <w:p>
      <w:pPr>
        <w:bidi w:val="0"/>
        <w:rPr>
          <w:rFonts w:hint="eastAsia"/>
        </w:rPr>
      </w:pPr>
      <w:r>
        <w:rPr>
          <w:rFonts w:hint="eastAsia"/>
        </w:rPr>
        <w:t>对所有自然保护地边界和功能分区进行矢量落图，确定矢量总面积</w:t>
      </w:r>
      <w:r>
        <w:rPr>
          <w:rFonts w:hint="eastAsia"/>
          <w:lang w:val="en-US" w:eastAsia="zh-CN"/>
        </w:rPr>
        <w:t>42131.47</w:t>
      </w:r>
      <w:r>
        <w:rPr>
          <w:rFonts w:hint="eastAsia"/>
        </w:rPr>
        <w:t>公顷。</w:t>
      </w:r>
    </w:p>
    <w:p>
      <w:pPr>
        <w:pStyle w:val="5"/>
        <w:keepNext w:val="0"/>
        <w:keepLines w:val="0"/>
        <w:adjustRightInd w:val="0"/>
        <w:snapToGrid w:val="0"/>
        <w:spacing w:before="0" w:after="0" w:line="578" w:lineRule="atLeast"/>
        <w:ind w:firstLine="643" w:firstLineChars="200"/>
        <w:rPr>
          <w:rFonts w:ascii="仿宋" w:hAnsi="仿宋" w:eastAsia="仿宋"/>
        </w:rPr>
      </w:pPr>
      <w:bookmarkStart w:id="57" w:name="_Toc118716357"/>
      <w:bookmarkStart w:id="58" w:name="_Toc17337"/>
      <w:bookmarkStart w:id="59" w:name="_Toc5394"/>
      <w:bookmarkStart w:id="60" w:name="_Toc19002"/>
      <w:bookmarkStart w:id="61" w:name="_Toc19479"/>
      <w:r>
        <w:rPr>
          <w:rFonts w:hint="eastAsia" w:ascii="仿宋" w:hAnsi="仿宋" w:eastAsia="仿宋"/>
        </w:rPr>
        <w:t>3</w:t>
      </w:r>
      <w:r>
        <w:rPr>
          <w:rFonts w:ascii="仿宋" w:hAnsi="仿宋" w:eastAsia="仿宋"/>
        </w:rPr>
        <w:t xml:space="preserve">. </w:t>
      </w:r>
      <w:r>
        <w:rPr>
          <w:rFonts w:hint="eastAsia" w:ascii="仿宋" w:hAnsi="仿宋" w:eastAsia="仿宋"/>
        </w:rPr>
        <w:t>净占地面积</w:t>
      </w:r>
      <w:bookmarkEnd w:id="57"/>
      <w:bookmarkEnd w:id="58"/>
      <w:bookmarkEnd w:id="59"/>
      <w:bookmarkEnd w:id="60"/>
      <w:bookmarkEnd w:id="61"/>
    </w:p>
    <w:p>
      <w:pPr>
        <w:bidi w:val="0"/>
        <w:rPr>
          <w:rFonts w:hint="eastAsia"/>
        </w:rPr>
      </w:pPr>
      <w:r>
        <w:rPr>
          <w:rFonts w:hint="eastAsia"/>
        </w:rPr>
        <w:t>剔除交叉重叠因素，对不同保护地之间重叠区域面积只作一次统计，</w:t>
      </w:r>
      <w:r>
        <w:rPr>
          <w:rFonts w:hint="eastAsia"/>
          <w:lang w:val="en-US" w:eastAsia="zh-CN"/>
        </w:rPr>
        <w:t>揭阳市</w:t>
      </w:r>
      <w:r>
        <w:rPr>
          <w:rFonts w:hint="eastAsia"/>
        </w:rPr>
        <w:t>自然保护地实际净占地总面积36948.77公顷。</w:t>
      </w:r>
    </w:p>
    <w:p>
      <w:pPr>
        <w:pStyle w:val="4"/>
        <w:keepNext w:val="0"/>
        <w:keepLines w:val="0"/>
        <w:widowControl w:val="0"/>
        <w:adjustRightInd w:val="0"/>
        <w:snapToGrid w:val="0"/>
        <w:spacing w:before="0" w:after="0" w:line="578" w:lineRule="atLeast"/>
        <w:ind w:firstLine="643" w:firstLineChars="200"/>
        <w:jc w:val="both"/>
        <w:rPr>
          <w:rFonts w:hint="eastAsia" w:ascii="黑体" w:hAnsi="黑体" w:eastAsia="黑体" w:cs="黑体"/>
        </w:rPr>
      </w:pPr>
      <w:bookmarkStart w:id="62" w:name="_Toc15582"/>
      <w:bookmarkStart w:id="63" w:name="_Toc118716358"/>
      <w:bookmarkStart w:id="64" w:name="_Toc4713"/>
      <w:bookmarkStart w:id="65" w:name="_Toc29187"/>
      <w:bookmarkStart w:id="66" w:name="_Toc9338"/>
      <w:r>
        <w:rPr>
          <w:rFonts w:hint="eastAsia" w:ascii="黑体" w:hAnsi="黑体" w:eastAsia="黑体" w:cs="黑体"/>
        </w:rPr>
        <w:t>（三）分类概述</w:t>
      </w:r>
      <w:bookmarkEnd w:id="62"/>
      <w:bookmarkEnd w:id="63"/>
      <w:bookmarkEnd w:id="64"/>
      <w:bookmarkEnd w:id="65"/>
      <w:bookmarkEnd w:id="66"/>
    </w:p>
    <w:p>
      <w:pPr>
        <w:bidi w:val="0"/>
        <w:rPr>
          <w:rFonts w:hint="eastAsia"/>
        </w:rPr>
      </w:pPr>
      <w:r>
        <w:rPr>
          <w:rFonts w:hint="eastAsia"/>
        </w:rPr>
        <w:t>按矢量面积计，各类自然保护地具体情况如下：</w:t>
      </w:r>
    </w:p>
    <w:p>
      <w:pPr>
        <w:pStyle w:val="5"/>
        <w:keepNext w:val="0"/>
        <w:keepLines w:val="0"/>
        <w:adjustRightInd w:val="0"/>
        <w:snapToGrid w:val="0"/>
        <w:spacing w:before="0" w:after="0" w:line="578" w:lineRule="atLeast"/>
        <w:ind w:firstLine="643" w:firstLineChars="200"/>
        <w:rPr>
          <w:rFonts w:ascii="仿宋" w:hAnsi="仿宋" w:eastAsia="仿宋"/>
        </w:rPr>
      </w:pPr>
      <w:bookmarkStart w:id="67" w:name="_Toc7211"/>
      <w:bookmarkStart w:id="68" w:name="_Toc597"/>
      <w:bookmarkStart w:id="69" w:name="_Toc3050"/>
      <w:bookmarkStart w:id="70" w:name="_Toc118716359"/>
      <w:bookmarkStart w:id="71" w:name="_Toc32070"/>
      <w:r>
        <w:rPr>
          <w:rFonts w:hint="eastAsia" w:ascii="仿宋" w:hAnsi="仿宋" w:eastAsia="仿宋"/>
        </w:rPr>
        <w:t>1.</w:t>
      </w:r>
      <w:r>
        <w:rPr>
          <w:rFonts w:hint="default" w:ascii="仿宋" w:hAnsi="仿宋" w:eastAsia="仿宋" w:cs="Times New Roman"/>
        </w:rPr>
        <w:t xml:space="preserve"> </w:t>
      </w:r>
      <w:r>
        <w:rPr>
          <w:rFonts w:hint="eastAsia" w:ascii="仿宋" w:hAnsi="仿宋" w:eastAsia="仿宋"/>
        </w:rPr>
        <w:t>自然保护区</w:t>
      </w:r>
      <w:bookmarkEnd w:id="67"/>
      <w:bookmarkEnd w:id="68"/>
      <w:bookmarkEnd w:id="69"/>
      <w:bookmarkEnd w:id="70"/>
      <w:bookmarkEnd w:id="71"/>
    </w:p>
    <w:p>
      <w:pPr>
        <w:bidi w:val="0"/>
        <w:rPr>
          <w:rFonts w:hint="eastAsia"/>
        </w:rPr>
      </w:pPr>
      <w:r>
        <w:rPr>
          <w:rFonts w:hint="eastAsia"/>
          <w:lang w:val="en-US" w:eastAsia="zh-CN"/>
        </w:rPr>
        <w:t>揭阳市</w:t>
      </w:r>
      <w:r>
        <w:rPr>
          <w:rFonts w:hint="eastAsia"/>
        </w:rPr>
        <w:t>共有自然保护区</w:t>
      </w:r>
      <w:r>
        <w:rPr>
          <w:rFonts w:hint="eastAsia"/>
          <w:lang w:val="en-US" w:eastAsia="zh-CN"/>
        </w:rPr>
        <w:t>7</w:t>
      </w:r>
      <w:r>
        <w:rPr>
          <w:rFonts w:hint="eastAsia"/>
        </w:rPr>
        <w:t>个，总面积</w:t>
      </w:r>
      <w:r>
        <w:rPr>
          <w:rFonts w:hint="eastAsia"/>
          <w:lang w:val="en-US" w:eastAsia="zh-CN"/>
        </w:rPr>
        <w:t>33052.44</w:t>
      </w:r>
      <w:r>
        <w:rPr>
          <w:rFonts w:hint="eastAsia"/>
        </w:rPr>
        <w:t>万公顷。其中：</w:t>
      </w:r>
    </w:p>
    <w:p>
      <w:pPr>
        <w:bidi w:val="0"/>
        <w:rPr>
          <w:rFonts w:hint="eastAsia"/>
        </w:rPr>
      </w:pPr>
      <w:r>
        <w:rPr>
          <w:rFonts w:hint="eastAsia"/>
        </w:rPr>
        <w:t>省级自然保护区</w:t>
      </w:r>
      <w:r>
        <w:rPr>
          <w:rFonts w:hint="eastAsia"/>
          <w:lang w:val="en-US" w:eastAsia="zh-CN"/>
        </w:rPr>
        <w:t>1</w:t>
      </w:r>
      <w:r>
        <w:rPr>
          <w:rFonts w:hint="eastAsia"/>
        </w:rPr>
        <w:t>个，总面积</w:t>
      </w:r>
      <w:r>
        <w:rPr>
          <w:rFonts w:hint="eastAsia"/>
          <w:lang w:val="en-US" w:eastAsia="zh-CN"/>
        </w:rPr>
        <w:t>6758.52</w:t>
      </w:r>
      <w:r>
        <w:rPr>
          <w:rFonts w:hint="eastAsia"/>
        </w:rPr>
        <w:t>公顷，占自然保护区总面积的</w:t>
      </w:r>
      <w:r>
        <w:rPr>
          <w:rFonts w:hint="eastAsia"/>
          <w:lang w:val="en-US" w:eastAsia="zh-CN"/>
        </w:rPr>
        <w:t>20.45</w:t>
      </w:r>
      <w:r>
        <w:rPr>
          <w:rFonts w:hint="eastAsia"/>
        </w:rPr>
        <w:t>%。</w:t>
      </w:r>
    </w:p>
    <w:p>
      <w:pPr>
        <w:bidi w:val="0"/>
        <w:rPr>
          <w:rFonts w:hint="eastAsia"/>
        </w:rPr>
      </w:pPr>
      <w:r>
        <w:rPr>
          <w:rFonts w:hint="eastAsia"/>
        </w:rPr>
        <w:t>市县级自然保护区</w:t>
      </w:r>
      <w:r>
        <w:rPr>
          <w:rFonts w:hint="eastAsia"/>
          <w:lang w:val="en-US" w:eastAsia="zh-CN"/>
        </w:rPr>
        <w:t>6</w:t>
      </w:r>
      <w:r>
        <w:rPr>
          <w:rFonts w:hint="eastAsia"/>
        </w:rPr>
        <w:t>个，总面积</w:t>
      </w:r>
      <w:r>
        <w:rPr>
          <w:rFonts w:hint="eastAsia"/>
          <w:lang w:val="en-US" w:eastAsia="zh-CN"/>
        </w:rPr>
        <w:t>26293.92</w:t>
      </w:r>
      <w:r>
        <w:rPr>
          <w:rFonts w:hint="eastAsia"/>
        </w:rPr>
        <w:t>公顷，占自然保护区总面积的</w:t>
      </w:r>
      <w:r>
        <w:rPr>
          <w:rFonts w:hint="eastAsia"/>
          <w:lang w:val="en-US" w:eastAsia="zh-CN"/>
        </w:rPr>
        <w:t>79.55</w:t>
      </w:r>
      <w:r>
        <w:rPr>
          <w:rFonts w:hint="eastAsia"/>
        </w:rPr>
        <w:t>%。</w:t>
      </w:r>
    </w:p>
    <w:p>
      <w:pPr>
        <w:pStyle w:val="5"/>
        <w:keepNext w:val="0"/>
        <w:keepLines w:val="0"/>
        <w:adjustRightInd w:val="0"/>
        <w:snapToGrid w:val="0"/>
        <w:spacing w:before="0" w:after="0" w:line="578" w:lineRule="atLeast"/>
        <w:ind w:firstLine="643" w:firstLineChars="200"/>
        <w:rPr>
          <w:rFonts w:ascii="仿宋" w:hAnsi="仿宋" w:eastAsia="仿宋"/>
        </w:rPr>
      </w:pPr>
      <w:bookmarkStart w:id="72" w:name="_Toc20605"/>
      <w:bookmarkStart w:id="73" w:name="_Toc29207"/>
      <w:bookmarkStart w:id="74" w:name="_Toc32637"/>
      <w:bookmarkStart w:id="75" w:name="_Toc118716361"/>
      <w:bookmarkStart w:id="76" w:name="_Toc24901"/>
      <w:r>
        <w:rPr>
          <w:rFonts w:hint="eastAsia" w:ascii="仿宋" w:hAnsi="仿宋" w:eastAsia="仿宋"/>
          <w:lang w:val="en-US" w:eastAsia="zh-CN"/>
        </w:rPr>
        <w:t>2</w:t>
      </w:r>
      <w:r>
        <w:rPr>
          <w:rFonts w:hint="eastAsia" w:ascii="仿宋" w:hAnsi="仿宋" w:eastAsia="仿宋"/>
        </w:rPr>
        <w:t>.</w:t>
      </w:r>
      <w:r>
        <w:rPr>
          <w:rFonts w:hint="default" w:ascii="仿宋" w:hAnsi="仿宋" w:eastAsia="仿宋" w:cs="Times New Roman"/>
        </w:rPr>
        <w:t xml:space="preserve"> </w:t>
      </w:r>
      <w:r>
        <w:rPr>
          <w:rFonts w:hint="eastAsia" w:ascii="仿宋" w:hAnsi="仿宋" w:eastAsia="仿宋"/>
        </w:rPr>
        <w:t>森林公园</w:t>
      </w:r>
      <w:bookmarkEnd w:id="72"/>
      <w:bookmarkEnd w:id="73"/>
      <w:bookmarkEnd w:id="74"/>
      <w:bookmarkEnd w:id="75"/>
      <w:bookmarkEnd w:id="76"/>
    </w:p>
    <w:p>
      <w:pPr>
        <w:bidi w:val="0"/>
        <w:rPr>
          <w:rFonts w:hint="eastAsia"/>
        </w:rPr>
      </w:pPr>
      <w:r>
        <w:rPr>
          <w:rFonts w:hint="eastAsia"/>
          <w:lang w:val="en-US" w:eastAsia="zh-CN"/>
        </w:rPr>
        <w:t>揭阳市</w:t>
      </w:r>
      <w:r>
        <w:rPr>
          <w:rFonts w:hint="eastAsia"/>
        </w:rPr>
        <w:t>共有森林公园</w:t>
      </w:r>
      <w:r>
        <w:rPr>
          <w:rFonts w:hint="eastAsia"/>
          <w:lang w:val="en-US" w:eastAsia="zh-CN"/>
        </w:rPr>
        <w:t>11</w:t>
      </w:r>
      <w:r>
        <w:rPr>
          <w:rFonts w:hint="eastAsia"/>
        </w:rPr>
        <w:t>个，总面积</w:t>
      </w:r>
      <w:r>
        <w:rPr>
          <w:rFonts w:hint="eastAsia"/>
          <w:lang w:val="en-US" w:eastAsia="zh-CN"/>
        </w:rPr>
        <w:t>9244.58</w:t>
      </w:r>
      <w:r>
        <w:rPr>
          <w:rFonts w:hint="eastAsia"/>
        </w:rPr>
        <w:t>公顷。其中：</w:t>
      </w:r>
    </w:p>
    <w:p>
      <w:pPr>
        <w:bidi w:val="0"/>
        <w:rPr>
          <w:rFonts w:hint="eastAsia"/>
        </w:rPr>
      </w:pPr>
      <w:r>
        <w:rPr>
          <w:rFonts w:hint="eastAsia"/>
        </w:rPr>
        <w:t>国家级森林公园</w:t>
      </w:r>
      <w:r>
        <w:rPr>
          <w:rFonts w:hint="eastAsia"/>
          <w:lang w:val="en-US" w:eastAsia="zh-CN"/>
        </w:rPr>
        <w:t>1</w:t>
      </w:r>
      <w:r>
        <w:rPr>
          <w:rFonts w:hint="eastAsia"/>
        </w:rPr>
        <w:t>个，总面积</w:t>
      </w:r>
      <w:r>
        <w:rPr>
          <w:rFonts w:hint="eastAsia"/>
          <w:lang w:val="en-US" w:eastAsia="zh-CN"/>
        </w:rPr>
        <w:t>3502.93</w:t>
      </w:r>
      <w:r>
        <w:rPr>
          <w:rFonts w:hint="eastAsia"/>
        </w:rPr>
        <w:t>公顷，占森林公园总面积的</w:t>
      </w:r>
      <w:r>
        <w:rPr>
          <w:rFonts w:hint="eastAsia"/>
          <w:lang w:val="en-US" w:eastAsia="zh-CN"/>
        </w:rPr>
        <w:t>37.89</w:t>
      </w:r>
      <w:r>
        <w:rPr>
          <w:rFonts w:hint="eastAsia"/>
        </w:rPr>
        <w:t>%。</w:t>
      </w:r>
    </w:p>
    <w:p>
      <w:pPr>
        <w:bidi w:val="0"/>
        <w:rPr>
          <w:rFonts w:hint="eastAsia"/>
        </w:rPr>
      </w:pPr>
      <w:r>
        <w:rPr>
          <w:rFonts w:hint="eastAsia"/>
        </w:rPr>
        <w:t>地方级森林公园</w:t>
      </w:r>
      <w:r>
        <w:rPr>
          <w:rFonts w:hint="eastAsia"/>
          <w:lang w:val="en-US" w:eastAsia="zh-CN"/>
        </w:rPr>
        <w:t>10</w:t>
      </w:r>
      <w:r>
        <w:rPr>
          <w:rFonts w:hint="eastAsia"/>
        </w:rPr>
        <w:t>个，总面积</w:t>
      </w:r>
      <w:r>
        <w:rPr>
          <w:rFonts w:hint="eastAsia"/>
          <w:lang w:val="en-US" w:eastAsia="zh-CN"/>
        </w:rPr>
        <w:t>5741.65</w:t>
      </w:r>
      <w:r>
        <w:rPr>
          <w:rFonts w:hint="eastAsia"/>
        </w:rPr>
        <w:t>公顷，占森林公园总面积的</w:t>
      </w:r>
      <w:r>
        <w:rPr>
          <w:rFonts w:hint="eastAsia"/>
          <w:lang w:val="en-US" w:eastAsia="zh-CN"/>
        </w:rPr>
        <w:t>62.11</w:t>
      </w:r>
      <w:r>
        <w:rPr>
          <w:rFonts w:hint="eastAsia"/>
        </w:rPr>
        <w:t>%。</w:t>
      </w:r>
    </w:p>
    <w:p>
      <w:pPr>
        <w:pStyle w:val="5"/>
        <w:keepNext w:val="0"/>
        <w:keepLines w:val="0"/>
        <w:adjustRightInd w:val="0"/>
        <w:snapToGrid w:val="0"/>
        <w:spacing w:before="0" w:after="0" w:line="578" w:lineRule="atLeast"/>
        <w:ind w:firstLine="643" w:firstLineChars="200"/>
        <w:rPr>
          <w:rFonts w:ascii="仿宋" w:hAnsi="仿宋" w:eastAsia="仿宋"/>
        </w:rPr>
      </w:pPr>
      <w:bookmarkStart w:id="77" w:name="_Toc26312"/>
      <w:bookmarkStart w:id="78" w:name="_Toc21256"/>
      <w:bookmarkStart w:id="79" w:name="_Toc21725"/>
      <w:bookmarkStart w:id="80" w:name="_Toc118716362"/>
      <w:bookmarkStart w:id="81" w:name="_Toc29039"/>
      <w:r>
        <w:rPr>
          <w:rFonts w:hint="eastAsia" w:ascii="仿宋" w:hAnsi="仿宋" w:eastAsia="仿宋"/>
          <w:lang w:val="en-US" w:eastAsia="zh-CN"/>
        </w:rPr>
        <w:t>3</w:t>
      </w:r>
      <w:r>
        <w:rPr>
          <w:rFonts w:hint="eastAsia" w:ascii="仿宋" w:hAnsi="仿宋" w:eastAsia="仿宋"/>
        </w:rPr>
        <w:t>.</w:t>
      </w:r>
      <w:r>
        <w:rPr>
          <w:rFonts w:hint="default" w:ascii="仿宋" w:hAnsi="仿宋" w:eastAsia="仿宋" w:cs="Times New Roman"/>
        </w:rPr>
        <w:t xml:space="preserve"> </w:t>
      </w:r>
      <w:r>
        <w:rPr>
          <w:rFonts w:hint="eastAsia" w:ascii="仿宋" w:hAnsi="仿宋" w:eastAsia="仿宋"/>
        </w:rPr>
        <w:t>地质公园</w:t>
      </w:r>
      <w:bookmarkEnd w:id="77"/>
      <w:bookmarkEnd w:id="78"/>
      <w:bookmarkEnd w:id="79"/>
      <w:bookmarkEnd w:id="80"/>
      <w:bookmarkEnd w:id="81"/>
    </w:p>
    <w:p>
      <w:pPr>
        <w:bidi w:val="0"/>
        <w:rPr>
          <w:rFonts w:hint="eastAsia"/>
        </w:rPr>
      </w:pPr>
      <w:r>
        <w:rPr>
          <w:rFonts w:hint="eastAsia"/>
          <w:lang w:val="en-US" w:eastAsia="zh-CN"/>
        </w:rPr>
        <w:t>揭阳市</w:t>
      </w:r>
      <w:r>
        <w:rPr>
          <w:rFonts w:hint="eastAsia"/>
        </w:rPr>
        <w:t>共有地质公园</w:t>
      </w:r>
      <w:r>
        <w:rPr>
          <w:rFonts w:hint="eastAsia"/>
          <w:lang w:val="en-US" w:eastAsia="zh-CN"/>
        </w:rPr>
        <w:t>1</w:t>
      </w:r>
      <w:r>
        <w:rPr>
          <w:rFonts w:hint="eastAsia"/>
        </w:rPr>
        <w:t>个，</w:t>
      </w:r>
      <w:r>
        <w:rPr>
          <w:rFonts w:hint="eastAsia"/>
          <w:lang w:val="en-US" w:eastAsia="zh-CN"/>
        </w:rPr>
        <w:t>省级，</w:t>
      </w:r>
      <w:r>
        <w:rPr>
          <w:rFonts w:hint="eastAsia"/>
        </w:rPr>
        <w:t>面积</w:t>
      </w:r>
      <w:r>
        <w:rPr>
          <w:rFonts w:hint="eastAsia"/>
          <w:lang w:val="en-US" w:eastAsia="zh-CN"/>
        </w:rPr>
        <w:t>2941.71</w:t>
      </w:r>
      <w:r>
        <w:rPr>
          <w:rFonts w:hint="eastAsia"/>
        </w:rPr>
        <w:t>公顷。</w:t>
      </w:r>
    </w:p>
    <w:p>
      <w:pPr>
        <w:pStyle w:val="5"/>
        <w:keepNext w:val="0"/>
        <w:keepLines w:val="0"/>
        <w:adjustRightInd w:val="0"/>
        <w:snapToGrid w:val="0"/>
        <w:spacing w:before="0" w:after="0" w:line="578" w:lineRule="atLeast"/>
        <w:ind w:firstLine="643" w:firstLineChars="200"/>
        <w:rPr>
          <w:rFonts w:ascii="仿宋" w:hAnsi="仿宋" w:eastAsia="仿宋"/>
        </w:rPr>
      </w:pPr>
      <w:bookmarkStart w:id="82" w:name="_Toc2514"/>
      <w:bookmarkStart w:id="83" w:name="_Toc2679"/>
      <w:bookmarkStart w:id="84" w:name="_Toc26835"/>
      <w:bookmarkStart w:id="85" w:name="_Toc118716363"/>
      <w:bookmarkStart w:id="86" w:name="_Toc8031"/>
      <w:r>
        <w:rPr>
          <w:rFonts w:hint="eastAsia" w:ascii="仿宋" w:hAnsi="仿宋" w:eastAsia="仿宋"/>
          <w:lang w:val="en-US" w:eastAsia="zh-CN"/>
        </w:rPr>
        <w:t>4</w:t>
      </w:r>
      <w:r>
        <w:rPr>
          <w:rFonts w:hint="eastAsia" w:ascii="仿宋" w:hAnsi="仿宋" w:eastAsia="仿宋"/>
        </w:rPr>
        <w:t>.</w:t>
      </w:r>
      <w:r>
        <w:rPr>
          <w:rFonts w:hint="default" w:ascii="仿宋" w:hAnsi="仿宋" w:eastAsia="仿宋" w:cs="Times New Roman"/>
        </w:rPr>
        <w:t xml:space="preserve"> </w:t>
      </w:r>
      <w:r>
        <w:rPr>
          <w:rFonts w:hint="eastAsia" w:ascii="仿宋" w:hAnsi="仿宋" w:eastAsia="仿宋"/>
        </w:rPr>
        <w:t>湿地公园</w:t>
      </w:r>
      <w:bookmarkEnd w:id="82"/>
      <w:bookmarkEnd w:id="83"/>
      <w:bookmarkEnd w:id="84"/>
      <w:bookmarkEnd w:id="85"/>
      <w:bookmarkEnd w:id="86"/>
    </w:p>
    <w:p>
      <w:pPr>
        <w:bidi w:val="0"/>
        <w:rPr>
          <w:rFonts w:hint="eastAsia" w:eastAsia="仿宋_GB2312"/>
          <w:lang w:val="en-US" w:eastAsia="zh-CN"/>
        </w:rPr>
      </w:pPr>
      <w:r>
        <w:rPr>
          <w:rFonts w:hint="eastAsia"/>
          <w:lang w:val="en-US" w:eastAsia="zh-CN"/>
        </w:rPr>
        <w:t>揭阳市</w:t>
      </w:r>
      <w:r>
        <w:rPr>
          <w:rFonts w:hint="eastAsia"/>
        </w:rPr>
        <w:t>共有湿地公园</w:t>
      </w:r>
      <w:r>
        <w:rPr>
          <w:rFonts w:hint="eastAsia"/>
          <w:lang w:val="en-US" w:eastAsia="zh-CN"/>
        </w:rPr>
        <w:t>4</w:t>
      </w:r>
      <w:r>
        <w:rPr>
          <w:rFonts w:hint="eastAsia"/>
        </w:rPr>
        <w:t>个，总面积</w:t>
      </w:r>
      <w:r>
        <w:rPr>
          <w:rFonts w:hint="eastAsia"/>
          <w:lang w:val="en-US" w:eastAsia="zh-CN"/>
        </w:rPr>
        <w:t>1619.80</w:t>
      </w:r>
      <w:r>
        <w:rPr>
          <w:rFonts w:hint="eastAsia"/>
        </w:rPr>
        <w:t>公顷。市级</w:t>
      </w:r>
      <w:r>
        <w:rPr>
          <w:rFonts w:hint="eastAsia"/>
          <w:lang w:val="en-US" w:eastAsia="zh-CN"/>
        </w:rPr>
        <w:t>湿地公园</w:t>
      </w:r>
      <w:r>
        <w:rPr>
          <w:rFonts w:hint="eastAsia"/>
        </w:rPr>
        <w:t>1</w:t>
      </w:r>
      <w:r>
        <w:rPr>
          <w:rFonts w:hint="eastAsia"/>
          <w:lang w:val="en-US" w:eastAsia="zh-CN"/>
        </w:rPr>
        <w:t>个，面积</w:t>
      </w:r>
      <w:r>
        <w:rPr>
          <w:rFonts w:hint="eastAsia"/>
        </w:rPr>
        <w:t>21.40</w:t>
      </w:r>
      <w:r>
        <w:rPr>
          <w:rFonts w:hint="eastAsia"/>
          <w:lang w:val="en-US" w:eastAsia="zh-CN"/>
        </w:rPr>
        <w:t>公顷；</w:t>
      </w:r>
      <w:r>
        <w:rPr>
          <w:rFonts w:hint="eastAsia"/>
        </w:rPr>
        <w:t>县级</w:t>
      </w:r>
      <w:r>
        <w:rPr>
          <w:rFonts w:hint="eastAsia"/>
          <w:lang w:val="en-US" w:eastAsia="zh-CN"/>
        </w:rPr>
        <w:t>湿地公园</w:t>
      </w:r>
      <w:r>
        <w:rPr>
          <w:rFonts w:hint="eastAsia"/>
        </w:rPr>
        <w:t>3</w:t>
      </w:r>
      <w:r>
        <w:rPr>
          <w:rFonts w:hint="eastAsia"/>
          <w:lang w:val="en-US" w:eastAsia="zh-CN"/>
        </w:rPr>
        <w:t>个，面积</w:t>
      </w:r>
      <w:r>
        <w:rPr>
          <w:rFonts w:hint="eastAsia"/>
        </w:rPr>
        <w:t>1598.40</w:t>
      </w:r>
      <w:r>
        <w:rPr>
          <w:rFonts w:hint="eastAsia"/>
          <w:lang w:val="en-US" w:eastAsia="zh-CN"/>
        </w:rPr>
        <w:t>公顷。</w:t>
      </w:r>
    </w:p>
    <w:p>
      <w:pPr>
        <w:rPr>
          <w:rFonts w:hint="eastAsia" w:ascii="黑体" w:hAnsi="黑体" w:eastAsia="黑体"/>
          <w:sz w:val="32"/>
          <w:szCs w:val="32"/>
        </w:rPr>
      </w:pPr>
      <w:bookmarkStart w:id="87" w:name="_Toc118716366"/>
      <w:bookmarkStart w:id="88" w:name="_Toc23011"/>
      <w:bookmarkStart w:id="89" w:name="_Toc26774"/>
      <w:bookmarkStart w:id="90" w:name="_Toc12755"/>
      <w:bookmarkStart w:id="91" w:name="_Toc25926"/>
      <w:r>
        <w:rPr>
          <w:rFonts w:hint="eastAsia" w:ascii="黑体" w:hAnsi="黑体" w:eastAsia="黑体"/>
          <w:sz w:val="32"/>
          <w:szCs w:val="32"/>
        </w:rPr>
        <w:br w:type="page"/>
      </w:r>
    </w:p>
    <w:p>
      <w:pPr>
        <w:pStyle w:val="3"/>
        <w:adjustRightInd w:val="0"/>
        <w:snapToGrid w:val="0"/>
        <w:spacing w:before="0" w:after="0" w:line="600" w:lineRule="atLeast"/>
        <w:ind w:firstLine="643" w:firstLineChars="200"/>
        <w:rPr>
          <w:rFonts w:ascii="黑体" w:hAnsi="黑体" w:eastAsia="黑体"/>
          <w:sz w:val="32"/>
          <w:szCs w:val="32"/>
        </w:rPr>
      </w:pPr>
      <w:r>
        <w:rPr>
          <w:rFonts w:hint="eastAsia" w:ascii="黑体" w:hAnsi="黑体" w:eastAsia="黑体"/>
          <w:sz w:val="32"/>
          <w:szCs w:val="32"/>
        </w:rPr>
        <w:t>二、工作开展情况</w:t>
      </w:r>
      <w:bookmarkEnd w:id="87"/>
      <w:bookmarkEnd w:id="88"/>
      <w:bookmarkEnd w:id="89"/>
      <w:bookmarkEnd w:id="90"/>
      <w:bookmarkEnd w:id="91"/>
    </w:p>
    <w:p>
      <w:pPr>
        <w:pStyle w:val="4"/>
        <w:keepNext w:val="0"/>
        <w:keepLines w:val="0"/>
        <w:widowControl w:val="0"/>
        <w:adjustRightInd w:val="0"/>
        <w:snapToGrid w:val="0"/>
        <w:spacing w:before="0" w:after="0" w:line="578" w:lineRule="atLeast"/>
        <w:ind w:firstLine="643" w:firstLineChars="200"/>
        <w:jc w:val="both"/>
        <w:rPr>
          <w:rFonts w:hint="eastAsia" w:ascii="楷体" w:hAnsi="楷体" w:eastAsia="楷体" w:cs="楷体"/>
        </w:rPr>
      </w:pPr>
      <w:bookmarkStart w:id="92" w:name="_Toc13558"/>
      <w:bookmarkStart w:id="93" w:name="_Toc12878"/>
      <w:bookmarkStart w:id="94" w:name="_Toc5622"/>
      <w:bookmarkStart w:id="95" w:name="_Toc118716367"/>
      <w:bookmarkStart w:id="96" w:name="_Toc18275"/>
      <w:r>
        <w:rPr>
          <w:rFonts w:hint="eastAsia" w:ascii="楷体" w:hAnsi="楷体" w:eastAsia="楷体" w:cs="楷体"/>
        </w:rPr>
        <w:t>（一）工作思路</w:t>
      </w:r>
      <w:bookmarkEnd w:id="92"/>
      <w:bookmarkEnd w:id="93"/>
      <w:bookmarkEnd w:id="94"/>
      <w:bookmarkEnd w:id="95"/>
      <w:bookmarkEnd w:id="96"/>
    </w:p>
    <w:p>
      <w:pPr>
        <w:bidi w:val="0"/>
        <w:rPr>
          <w:rFonts w:hint="eastAsia"/>
        </w:rPr>
      </w:pPr>
      <w:r>
        <w:rPr>
          <w:rFonts w:hint="eastAsia"/>
        </w:rPr>
        <w:t>贯彻习近平生态文明思想，坚持问题导向、先定规则、逐步调整、反复完善。重点解决自然保护地交叉重叠、保护空缺、现实矛盾冲突和历史遗留问题。科学合理界定自然保护地范围，优化功能分区，细化管控措施。确保重要生态系统、自然遗迹、自然景观和生物多样性得到有效保护。有效衔接生态保护红线、永久基本农田、城镇开发边界划定。</w:t>
      </w:r>
    </w:p>
    <w:p>
      <w:pPr>
        <w:bidi w:val="0"/>
        <w:rPr>
          <w:rFonts w:hint="eastAsia"/>
        </w:rPr>
      </w:pPr>
      <w:r>
        <w:rPr>
          <w:rFonts w:hint="eastAsia"/>
        </w:rPr>
        <w:t>自然保护地整合优化坚持以下原则：</w:t>
      </w:r>
    </w:p>
    <w:p>
      <w:pPr>
        <w:bidi w:val="0"/>
        <w:rPr>
          <w:rFonts w:hint="eastAsia"/>
        </w:rPr>
      </w:pPr>
      <w:r>
        <w:rPr>
          <w:rFonts w:hint="eastAsia"/>
        </w:rPr>
        <w:t>1. 科学评估，合理调整。以主要保护对象的保护价值为基础，进行科学评价，着眼解决现实矛盾冲突和历史遗留问题。</w:t>
      </w:r>
    </w:p>
    <w:p>
      <w:pPr>
        <w:bidi w:val="0"/>
        <w:rPr>
          <w:rFonts w:hint="eastAsia"/>
        </w:rPr>
      </w:pPr>
      <w:r>
        <w:rPr>
          <w:rFonts w:hint="eastAsia"/>
        </w:rPr>
        <w:t>2. 应划尽划，应保尽保。保持自然生态系统完整性和生态廊道连通性，调入与调出相结合，将应该保护的地方调入自然保护地进行保护。</w:t>
      </w:r>
    </w:p>
    <w:p>
      <w:pPr>
        <w:bidi w:val="0"/>
        <w:rPr>
          <w:rFonts w:hint="eastAsia"/>
        </w:rPr>
      </w:pPr>
      <w:r>
        <w:rPr>
          <w:rFonts w:hint="eastAsia"/>
        </w:rPr>
        <w:t>3. 实事求是，简便易行。不预设自然保护地面积，简化功能分区，根据实际情况制定矛盾冲突调出标准，采取差别化管控措施，确保可操作性。</w:t>
      </w:r>
    </w:p>
    <w:p>
      <w:pPr>
        <w:bidi w:val="0"/>
        <w:rPr>
          <w:rFonts w:hint="default"/>
        </w:rPr>
      </w:pPr>
      <w:r>
        <w:rPr>
          <w:rFonts w:hint="eastAsia"/>
        </w:rPr>
        <w:t>4. 统筹协调，充分衔接。结合国土空间规划编制，衔接三条控制线划定，与生态保护红线评估调整同步开展，与永久基本农田核实整改协调推进，统筹生产、生活、生态空间。</w:t>
      </w:r>
      <w:bookmarkStart w:id="97" w:name="_Toc118716368"/>
    </w:p>
    <w:p>
      <w:pPr>
        <w:widowControl w:val="0"/>
        <w:adjustRightInd w:val="0"/>
        <w:snapToGrid w:val="0"/>
        <w:spacing w:before="0" w:after="0" w:line="578" w:lineRule="atLeast"/>
        <w:ind w:firstLine="640" w:firstLineChars="200"/>
        <w:jc w:val="both"/>
        <w:outlineLvl w:val="1"/>
        <w:rPr>
          <w:rFonts w:hint="eastAsia" w:ascii="黑体" w:hAnsi="黑体" w:eastAsia="黑体" w:cs="宋体"/>
          <w:sz w:val="32"/>
          <w:szCs w:val="32"/>
        </w:rPr>
      </w:pPr>
      <w:bookmarkStart w:id="98" w:name="_Toc7525"/>
      <w:bookmarkStart w:id="99" w:name="_Toc23836"/>
      <w:bookmarkStart w:id="100" w:name="_Toc5932"/>
      <w:bookmarkStart w:id="101" w:name="_Toc373"/>
      <w:r>
        <w:rPr>
          <w:rFonts w:hint="default" w:ascii="黑体" w:hAnsi="黑体" w:eastAsia="黑体" w:cs="宋体"/>
          <w:sz w:val="32"/>
          <w:szCs w:val="32"/>
        </w:rPr>
        <w:t>（二）工作过程</w:t>
      </w:r>
      <w:bookmarkEnd w:id="97"/>
      <w:bookmarkEnd w:id="98"/>
      <w:bookmarkEnd w:id="99"/>
      <w:bookmarkEnd w:id="100"/>
      <w:bookmarkEnd w:id="101"/>
    </w:p>
    <w:p>
      <w:pPr>
        <w:keepNext w:val="0"/>
        <w:keepLines w:val="0"/>
        <w:adjustRightInd/>
        <w:snapToGrid/>
        <w:spacing w:before="0" w:after="0" w:line="600" w:lineRule="atLeast"/>
        <w:ind w:firstLine="643" w:firstLineChars="200"/>
        <w:outlineLvl w:val="2"/>
        <w:rPr>
          <w:rFonts w:hint="eastAsia" w:ascii="楷体" w:hAnsi="楷体" w:eastAsia="楷体" w:cs="楷体"/>
          <w:b/>
          <w:bCs/>
          <w:sz w:val="32"/>
          <w:szCs w:val="32"/>
        </w:rPr>
      </w:pPr>
      <w:bookmarkStart w:id="102" w:name="_Toc21644"/>
      <w:bookmarkStart w:id="103" w:name="_Toc118716369"/>
      <w:bookmarkStart w:id="104" w:name="_Toc18947"/>
      <w:bookmarkStart w:id="105" w:name="_Toc32411"/>
      <w:bookmarkStart w:id="106" w:name="_Toc24828"/>
      <w:r>
        <w:rPr>
          <w:rFonts w:hint="eastAsia" w:ascii="楷体" w:hAnsi="楷体" w:eastAsia="楷体" w:cs="楷体"/>
          <w:b/>
          <w:bCs/>
          <w:sz w:val="32"/>
          <w:szCs w:val="32"/>
        </w:rPr>
        <w:t>1. 开展调查摸底</w:t>
      </w:r>
      <w:bookmarkEnd w:id="102"/>
      <w:bookmarkEnd w:id="103"/>
      <w:bookmarkEnd w:id="104"/>
      <w:bookmarkEnd w:id="105"/>
      <w:bookmarkEnd w:id="106"/>
    </w:p>
    <w:p>
      <w:pPr>
        <w:bidi w:val="0"/>
        <w:rPr>
          <w:rFonts w:hint="eastAsia"/>
        </w:rPr>
      </w:pPr>
      <w:r>
        <w:rPr>
          <w:rFonts w:hint="eastAsia"/>
        </w:rPr>
        <w:t>2019年8月1日，广东省自然资源厅即印发《关于开展全省自然保护地资源调查摸底工作的通知》，正式启动全省自然保护地资源调查摸底工作，拉开了自然保护地整合优化工作的序幕；8月8-9日，广东省林业局在广州举办了全省自然保护地整合优化技术培训班，局领导做了动员讲话和工作部署，国家林业和草原局调查规划设计院专家对全省各地级以上市自然保护地主管部门、各县（市、区）自然保护地相关业务骨干近300人进行了专题培训。参与人员数量之多和积极性之高远超预期（会议计划约200人，很多部门主动要求自费参会旁听）；8月17日，对参与人员发布“广东省自然保护地整合优化资源摸底调查资料收集阶段工作手册”，指导后续工作推进；8月24日，全省21个地级</w:t>
      </w:r>
      <w:r>
        <w:rPr>
          <w:rFonts w:hint="eastAsia"/>
          <w:lang w:val="en-US" w:eastAsia="zh-CN"/>
        </w:rPr>
        <w:t>以上</w:t>
      </w:r>
      <w:r>
        <w:rPr>
          <w:rFonts w:hint="eastAsia"/>
        </w:rPr>
        <w:t>市全部完成工作部署；8月26日，国家林业和草原局调查规划设计院牵头，华南农业大学、广州大学、岭南综合勘察设计院等18家科研院校、专业机构组成</w:t>
      </w:r>
      <w:r>
        <w:rPr>
          <w:rFonts w:hint="eastAsia"/>
          <w:lang w:val="en-US" w:eastAsia="zh-CN"/>
        </w:rPr>
        <w:t>40</w:t>
      </w:r>
      <w:r>
        <w:rPr>
          <w:rFonts w:hint="eastAsia"/>
        </w:rPr>
        <w:t>0余人的技术支持团队深入全省123个县（市、区）开展现场指导资料采集和数据填报工作。</w:t>
      </w:r>
    </w:p>
    <w:p>
      <w:pPr>
        <w:bidi w:val="0"/>
        <w:rPr>
          <w:rFonts w:hint="eastAsia"/>
        </w:rPr>
      </w:pPr>
      <w:r>
        <w:rPr>
          <w:rFonts w:hint="eastAsia"/>
        </w:rPr>
        <w:t>2019年8月，揭阳市林业局组织召开了全市自然保护地调查摸底工作推进会议，正式启动自然保护地摸底调查工作；9月完成资料收集整理，并在全省自然保护地监督管理平台填写及上传，同时编写了自然资源价值评价报告。</w:t>
      </w:r>
    </w:p>
    <w:p>
      <w:pPr>
        <w:bidi w:val="0"/>
        <w:rPr>
          <w:rFonts w:hint="eastAsia"/>
        </w:rPr>
      </w:pPr>
      <w:r>
        <w:rPr>
          <w:rFonts w:hint="eastAsia"/>
        </w:rPr>
        <w:t>2020年3~6月，通过收集整理国土三调数据、永久基本农田红线、土地利用总体规划、城市开发边界、生态保护红线等相关数据及文件，征求自然保护地主管部门及相关部门意见，并对现场进行补充调查，梳理和分析辖区内自然保护地资源本底、存在问题和管理状况，深入调研、科学谋划，编制各县（市、区）及揭阳市自然保护地整合优化预案。</w:t>
      </w:r>
    </w:p>
    <w:p>
      <w:pPr>
        <w:bidi w:val="0"/>
        <w:rPr>
          <w:rFonts w:hint="eastAsia"/>
        </w:rPr>
      </w:pPr>
      <w:r>
        <w:rPr>
          <w:rFonts w:hint="eastAsia"/>
        </w:rPr>
        <w:t>2020年7月，整合优化预案上报揭阳市人民政府，经市人民政府上报广东省人民政府，上报国务院自然保护地审核专班进行审核。</w:t>
      </w:r>
    </w:p>
    <w:p>
      <w:pPr>
        <w:bidi w:val="0"/>
        <w:rPr>
          <w:rFonts w:hint="eastAsia"/>
        </w:rPr>
      </w:pPr>
      <w:r>
        <w:rPr>
          <w:rFonts w:hint="eastAsia"/>
        </w:rPr>
        <w:t>2020年9~11月，结合国家自然保护地审核专班的审核意见，对自然保护地整合优化预案进行修改。</w:t>
      </w:r>
    </w:p>
    <w:p>
      <w:pPr>
        <w:keepNext w:val="0"/>
        <w:keepLines w:val="0"/>
        <w:adjustRightInd/>
        <w:snapToGrid/>
        <w:spacing w:before="0" w:after="0" w:line="600" w:lineRule="atLeast"/>
        <w:ind w:firstLine="643" w:firstLineChars="200"/>
        <w:outlineLvl w:val="2"/>
        <w:rPr>
          <w:rFonts w:hint="eastAsia" w:ascii="楷体" w:hAnsi="楷体" w:eastAsia="楷体" w:cs="楷体"/>
          <w:b/>
          <w:bCs/>
          <w:sz w:val="32"/>
          <w:szCs w:val="32"/>
        </w:rPr>
      </w:pPr>
      <w:bookmarkStart w:id="107" w:name="_Toc1410"/>
      <w:bookmarkStart w:id="108" w:name="_Toc27467"/>
      <w:bookmarkStart w:id="109" w:name="_Toc118716370"/>
      <w:bookmarkStart w:id="110" w:name="_Toc23189"/>
      <w:bookmarkStart w:id="111" w:name="_Toc23927"/>
      <w:r>
        <w:rPr>
          <w:rFonts w:hint="eastAsia" w:ascii="楷体" w:hAnsi="楷体" w:eastAsia="楷体" w:cs="楷体"/>
          <w:b/>
          <w:bCs/>
          <w:sz w:val="32"/>
          <w:szCs w:val="32"/>
        </w:rPr>
        <w:t>2. 分析保护空缺</w:t>
      </w:r>
      <w:bookmarkEnd w:id="107"/>
      <w:bookmarkEnd w:id="108"/>
      <w:bookmarkEnd w:id="109"/>
      <w:bookmarkEnd w:id="110"/>
      <w:bookmarkEnd w:id="111"/>
    </w:p>
    <w:p>
      <w:pPr>
        <w:bidi w:val="0"/>
        <w:rPr>
          <w:rFonts w:hint="eastAsia"/>
        </w:rPr>
      </w:pPr>
      <w:r>
        <w:rPr>
          <w:rFonts w:hint="eastAsia"/>
        </w:rPr>
        <w:t>2019年12月至2020年2月期间，在对全省自然自然保护地资源进行全面评估的基础上，结合国土三调、生态红线单因子评估、森林资源调查、湿地资源调查、红树林资源调查等相关工作成果，确定全省自然保护地面积、数量、管控分区面积指标及统一的保护地现状、整合意向和增补候选空间矢量底图。</w:t>
      </w:r>
    </w:p>
    <w:p>
      <w:pPr>
        <w:keepNext w:val="0"/>
        <w:keepLines w:val="0"/>
        <w:adjustRightInd/>
        <w:snapToGrid/>
        <w:spacing w:before="0" w:after="0" w:line="600" w:lineRule="atLeast"/>
        <w:ind w:firstLine="643" w:firstLineChars="200"/>
        <w:outlineLvl w:val="2"/>
        <w:rPr>
          <w:rFonts w:hint="eastAsia" w:ascii="楷体" w:hAnsi="楷体" w:eastAsia="楷体" w:cs="楷体"/>
          <w:b/>
          <w:bCs/>
          <w:sz w:val="32"/>
          <w:szCs w:val="32"/>
        </w:rPr>
      </w:pPr>
      <w:bookmarkStart w:id="112" w:name="_Toc27281"/>
      <w:bookmarkStart w:id="113" w:name="_Toc10095"/>
      <w:bookmarkStart w:id="114" w:name="_Toc118716371"/>
      <w:bookmarkStart w:id="115" w:name="_Toc28751"/>
      <w:bookmarkStart w:id="116" w:name="_Toc5304"/>
      <w:r>
        <w:rPr>
          <w:rFonts w:hint="eastAsia" w:ascii="楷体" w:hAnsi="楷体" w:eastAsia="楷体" w:cs="楷体"/>
          <w:b/>
          <w:bCs/>
          <w:sz w:val="32"/>
          <w:szCs w:val="32"/>
        </w:rPr>
        <w:t>3. 制定工作规则</w:t>
      </w:r>
      <w:bookmarkEnd w:id="112"/>
      <w:bookmarkEnd w:id="113"/>
      <w:bookmarkEnd w:id="114"/>
      <w:bookmarkEnd w:id="115"/>
      <w:bookmarkEnd w:id="116"/>
    </w:p>
    <w:p>
      <w:pPr>
        <w:bidi w:val="0"/>
        <w:rPr>
          <w:rFonts w:hint="eastAsia"/>
        </w:rPr>
      </w:pPr>
      <w:r>
        <w:rPr>
          <w:rFonts w:hint="eastAsia"/>
          <w:lang w:val="en-US" w:eastAsia="zh-CN"/>
        </w:rPr>
        <w:t>根据</w:t>
      </w:r>
      <w:r>
        <w:rPr>
          <w:rFonts w:hint="eastAsia"/>
        </w:rPr>
        <w:t>自然资源部、国家林草局联合印发</w:t>
      </w:r>
      <w:r>
        <w:rPr>
          <w:rFonts w:hint="eastAsia"/>
          <w:lang w:val="en-US" w:eastAsia="zh-CN"/>
        </w:rPr>
        <w:t>的</w:t>
      </w:r>
      <w:r>
        <w:rPr>
          <w:rFonts w:hint="eastAsia"/>
        </w:rPr>
        <w:t>《关于做好自然保护区范围及功能分区优化调整前期有关工作的函》，明确了自然保护地整合优化的指导思想、基本原则、重点任务、调整规则和自然保护地的分区管控规则。之后，针对永久基本农田、城镇建成区、矿业权、风景名胜区等问题，又先后印发了《关于自然保护地整合优化有关事项的通知》《关于生态保护红线划定中有关空间矛盾冲突处理规则的补充通知》等文件。2021年7月党中央国务院部署开展《国土空间规划》编制和“三区三线”划定工作后，相关规则同样适用于《自然保护地整合优化方案》再完善工作。</w:t>
      </w:r>
    </w:p>
    <w:p>
      <w:pPr>
        <w:bidi w:val="0"/>
        <w:rPr>
          <w:rFonts w:hint="eastAsia"/>
        </w:rPr>
      </w:pPr>
      <w:r>
        <w:rPr>
          <w:rFonts w:hint="eastAsia"/>
        </w:rPr>
        <w:t>为确保</w:t>
      </w:r>
      <w:r>
        <w:rPr>
          <w:rFonts w:hint="eastAsia"/>
          <w:lang w:val="en-US" w:eastAsia="zh-CN"/>
        </w:rPr>
        <w:t>自然保护地整合优化工作有效推进，完成“广东省自然保护地整合优化预案编制工作指南”；在前期试点工作基础上发布“自然保护地整合优化预案编制技术指引”，并以视频会议方式进行全省技术团队培训；下发了全省21个地级以上市整合优化预案导引报告；经过上述工作统一了整合优化工作程序、技术方法、指标设定和图件分析过程，形成规范划一的工作平台。</w:t>
      </w:r>
    </w:p>
    <w:p>
      <w:pPr>
        <w:adjustRightInd/>
        <w:snapToGrid/>
        <w:spacing w:line="600" w:lineRule="atLeast"/>
        <w:ind w:firstLine="643" w:firstLineChars="200"/>
        <w:jc w:val="both"/>
        <w:outlineLvl w:val="2"/>
        <w:rPr>
          <w:rFonts w:hint="eastAsia" w:ascii="楷体" w:hAnsi="楷体" w:eastAsia="楷体" w:cs="楷体"/>
          <w:b/>
          <w:bCs/>
          <w:sz w:val="32"/>
          <w:szCs w:val="32"/>
        </w:rPr>
      </w:pPr>
      <w:bookmarkStart w:id="117" w:name="_Toc118716372"/>
      <w:bookmarkStart w:id="118" w:name="_Toc29712"/>
      <w:bookmarkStart w:id="119" w:name="_Toc6528"/>
      <w:bookmarkStart w:id="120" w:name="_Toc24311"/>
      <w:bookmarkStart w:id="121" w:name="_Toc165"/>
      <w:r>
        <w:rPr>
          <w:rFonts w:hint="eastAsia" w:ascii="楷体" w:hAnsi="楷体" w:eastAsia="楷体" w:cs="楷体"/>
          <w:b/>
          <w:bCs/>
          <w:sz w:val="32"/>
          <w:szCs w:val="32"/>
        </w:rPr>
        <w:t>4.</w:t>
      </w:r>
      <w:bookmarkEnd w:id="117"/>
      <w:r>
        <w:rPr>
          <w:rFonts w:hint="eastAsia" w:ascii="楷体" w:hAnsi="楷体" w:eastAsia="楷体" w:cs="楷体"/>
          <w:b/>
          <w:bCs/>
          <w:sz w:val="32"/>
          <w:szCs w:val="32"/>
        </w:rPr>
        <w:t>预案编制、审核</w:t>
      </w:r>
      <w:bookmarkEnd w:id="118"/>
      <w:bookmarkEnd w:id="119"/>
      <w:bookmarkEnd w:id="120"/>
      <w:bookmarkEnd w:id="121"/>
    </w:p>
    <w:p>
      <w:pPr>
        <w:bidi w:val="0"/>
        <w:rPr>
          <w:rFonts w:hint="eastAsia"/>
        </w:rPr>
      </w:pPr>
      <w:r>
        <w:rPr>
          <w:rFonts w:hint="eastAsia"/>
        </w:rPr>
        <w:t>2020年4月上旬至5月上旬，省林业局分管副局长全程负责对21个地市的整合优化预案进行前置工作思路审查。严把工作理念关和数据质量关，对于保护给发展让路、应保不保、洗白违法违规项目、变动保护地边界等情况全部退回，并严肃批评。审查中将编制思路存在问题的单位登记在册，列为重点审查对象。通过思路审查后，各技术团队在既定导向下，开展整合优化预案编制和分述报告编写。省林业局组织专人对编写过程中的共性问题进行了整理和集中研讨，形成报告审查要点，统一审查尺度并规范各技术团队报告体例。</w:t>
      </w:r>
    </w:p>
    <w:p>
      <w:pPr>
        <w:bidi w:val="0"/>
        <w:rPr>
          <w:rFonts w:hint="eastAsia"/>
        </w:rPr>
      </w:pPr>
      <w:r>
        <w:rPr>
          <w:rFonts w:hint="eastAsia"/>
        </w:rPr>
        <w:t>2019年8月，省自然资源厅、省林业局启动了自然保护地整合优化工作，在各地级以上市人民政府及自然保护地主管部门的积极努力下，已先后完成全省自然保护地摸底调查，采集了400多万条数据项；对21个地级以上市预案（初稿）的专家审核；并以各市预案为基础编制了《广东省自然保护地整合优化预案（征求意见稿）》，并征求21个地市人民政府和省直相关部门意见；2020年8月初，将自然保护地整合优化矢量数据与生态保护红线评估调整成果对接，组织广东省省级自然保护区评审委员会及有关专家召开了评审会，预案文本按评审意见经进一步修改完善，形成省级预案《广东省自然保护地整合优化预案（送审稿）》</w:t>
      </w:r>
      <w:r>
        <w:rPr>
          <w:rFonts w:hint="eastAsia"/>
          <w:lang w:eastAsia="zh-CN"/>
        </w:rPr>
        <w:t>，</w:t>
      </w:r>
      <w:r>
        <w:rPr>
          <w:rFonts w:hint="eastAsia"/>
          <w:lang w:val="en-US" w:eastAsia="zh-CN"/>
        </w:rPr>
        <w:t>并于12月底上报国家审核</w:t>
      </w:r>
      <w:r>
        <w:rPr>
          <w:rFonts w:hint="eastAsia"/>
        </w:rPr>
        <w:t>。</w:t>
      </w:r>
    </w:p>
    <w:p>
      <w:pPr>
        <w:bidi w:val="0"/>
        <w:rPr>
          <w:rFonts w:hint="eastAsia"/>
          <w:lang w:val="en-US" w:eastAsia="zh-CN"/>
        </w:rPr>
      </w:pPr>
      <w:r>
        <w:rPr>
          <w:rFonts w:hint="eastAsia"/>
          <w:lang w:val="en-US" w:eastAsia="zh-CN"/>
        </w:rPr>
        <w:t>2021年2月，自然资源部、生态环境部、国家林业和草原局联合召开视频会议，再次部署生态保护红线评估调整和自然保护地整合优化成果完善工作，要求充分应用“三调”最新成果，进一步妥善处理生态保护红线和自然保护地范围内的永久基本农田、矿业权、人工商品林等矛盾冲突，确保划定成果科学、权威、可执行。根据国家完善工作规则，省自然资源厅会同省生态环境厅、省林业局组织对生态保护红线和自然保护地内的永久基本农田、矿业权、人工商品林、一般耕地、镇村、重大项目等再次进行协调处理，进一步完善了《广东省自然保护地整合优化预案》，并于4月30日上报。</w:t>
      </w:r>
    </w:p>
    <w:p>
      <w:pPr>
        <w:bidi w:val="0"/>
        <w:rPr>
          <w:rFonts w:hint="eastAsia"/>
          <w:lang w:val="en-US" w:eastAsia="zh-CN"/>
        </w:rPr>
      </w:pPr>
      <w:r>
        <w:rPr>
          <w:rFonts w:hint="eastAsia"/>
          <w:lang w:val="en-US" w:eastAsia="zh-CN"/>
        </w:rPr>
        <w:t>2021年9月，国家林业和草原局召开了全国自然保护地整合优化工作会议，部署了自然保护地整合优化预案“回头看”工作，国家林业和草原局召开了全国自然保护地整合优化工作会议，部署了自然保护地整合优化预案“回头看”工作，为巩固完善我省自然保护地整合优化预案成果，切实解决各类矛盾冲突问题，立即组织开展了全省自然保护地整合优化预案“回头看”工作，进一步完善了《广东省自然保护地整合优化预案》相关矢量数据，在此期间，根据国家相关要求，与我省</w:t>
      </w:r>
      <w:r>
        <w:rPr>
          <w:rFonts w:hint="eastAsia"/>
        </w:rPr>
        <w:t>“三区三线”划定工作</w:t>
      </w:r>
      <w:r>
        <w:rPr>
          <w:rFonts w:hint="eastAsia"/>
          <w:lang w:val="en-US" w:eastAsia="zh-CN"/>
        </w:rPr>
        <w:t>进行衔接，完善自然保护地整合优化相关矢量数据，通过国家审核后，于2022年11月，纳入我省风景名胜区整合优化方案后，上报国家林业和草原局。</w:t>
      </w:r>
    </w:p>
    <w:p>
      <w:pPr>
        <w:rPr>
          <w:rFonts w:hint="eastAsia"/>
          <w:lang w:val="en-US" w:eastAsia="zh-CN"/>
        </w:rPr>
      </w:pPr>
      <w:r>
        <w:rPr>
          <w:rFonts w:hint="eastAsia"/>
          <w:lang w:val="en-US" w:eastAsia="zh-CN"/>
        </w:rPr>
        <w:br w:type="page"/>
      </w:r>
    </w:p>
    <w:p>
      <w:pPr>
        <w:pStyle w:val="3"/>
        <w:keepNext w:val="0"/>
        <w:keepLines w:val="0"/>
        <w:widowControl/>
        <w:adjustRightInd w:val="0"/>
        <w:snapToGrid w:val="0"/>
        <w:spacing w:before="0" w:after="0" w:line="600" w:lineRule="atLeast"/>
        <w:ind w:firstLine="643" w:firstLineChars="200"/>
        <w:jc w:val="left"/>
        <w:rPr>
          <w:rFonts w:ascii="黑体" w:hAnsi="黑体" w:eastAsia="黑体"/>
          <w:sz w:val="32"/>
          <w:szCs w:val="32"/>
        </w:rPr>
      </w:pPr>
      <w:bookmarkStart w:id="122" w:name="_Toc9415"/>
      <w:bookmarkStart w:id="123" w:name="_Toc31890"/>
      <w:bookmarkStart w:id="124" w:name="_Toc118716374"/>
      <w:bookmarkStart w:id="125" w:name="_Toc1188"/>
      <w:bookmarkStart w:id="126" w:name="_Toc8236"/>
      <w:r>
        <w:rPr>
          <w:rFonts w:hint="eastAsia" w:ascii="黑体" w:hAnsi="黑体" w:eastAsia="黑体"/>
          <w:sz w:val="32"/>
          <w:szCs w:val="32"/>
        </w:rPr>
        <w:t>三、整合优化规则</w:t>
      </w:r>
      <w:bookmarkEnd w:id="122"/>
      <w:bookmarkEnd w:id="123"/>
      <w:bookmarkEnd w:id="124"/>
      <w:bookmarkEnd w:id="125"/>
      <w:bookmarkEnd w:id="126"/>
    </w:p>
    <w:p>
      <w:pPr>
        <w:bidi w:val="0"/>
        <w:rPr>
          <w:rFonts w:hint="eastAsia"/>
        </w:rPr>
      </w:pPr>
      <w:r>
        <w:rPr>
          <w:rFonts w:hint="eastAsia"/>
        </w:rPr>
        <w:t>贯彻落实中办国办《关于建立以国家公园为主体的自然保护地体系的指导意见》《关于在国土空间规划中统筹划定落实三条控制线的指导意见》精神，依据自然资源部、生态环境部、国家林草局《关于做好自然保护区范围及功能分区优化调整前期有关工作的函》《关于自然保护地整合优化有关事项的通知》《关于生态保护红线自然保护地内矿业权差别化管理的通知》《关于生态保护红线划定中有关空间矛盾冲突处理规则的补充通知》《关于在全国开展“三区三线”划定工作的函》《关于加强生态保护红线管理的通知》《关于做好风景名胜区整合优化预案编制工作的函》）等文件，确定整合优化规则如下。</w:t>
      </w:r>
    </w:p>
    <w:p>
      <w:pPr>
        <w:pStyle w:val="4"/>
        <w:keepNext w:val="0"/>
        <w:keepLines w:val="0"/>
        <w:widowControl w:val="0"/>
        <w:adjustRightInd w:val="0"/>
        <w:snapToGrid w:val="0"/>
        <w:spacing w:before="0" w:after="0" w:line="578" w:lineRule="atLeast"/>
        <w:ind w:firstLine="643" w:firstLineChars="200"/>
        <w:jc w:val="both"/>
        <w:rPr>
          <w:rFonts w:hint="eastAsia" w:ascii="楷体" w:hAnsi="楷体" w:eastAsia="楷体" w:cs="楷体"/>
        </w:rPr>
      </w:pPr>
      <w:bookmarkStart w:id="127" w:name="_Toc27642"/>
      <w:bookmarkStart w:id="128" w:name="_Toc31537"/>
      <w:bookmarkStart w:id="129" w:name="_Toc993"/>
      <w:bookmarkStart w:id="130" w:name="_Toc118716375"/>
      <w:bookmarkStart w:id="131" w:name="_Toc1380"/>
      <w:r>
        <w:rPr>
          <w:rFonts w:hint="eastAsia" w:ascii="楷体" w:hAnsi="楷体" w:eastAsia="楷体" w:cs="楷体"/>
        </w:rPr>
        <w:t>（一）分类分级规则</w:t>
      </w:r>
      <w:bookmarkEnd w:id="127"/>
      <w:bookmarkEnd w:id="128"/>
      <w:bookmarkEnd w:id="129"/>
      <w:bookmarkEnd w:id="130"/>
      <w:bookmarkEnd w:id="131"/>
    </w:p>
    <w:p>
      <w:pPr>
        <w:widowControl w:val="0"/>
        <w:adjustRightInd w:val="0"/>
        <w:snapToGrid w:val="0"/>
        <w:spacing w:line="600" w:lineRule="atLeas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 分类规则</w:t>
      </w:r>
    </w:p>
    <w:p>
      <w:pPr>
        <w:bidi w:val="0"/>
        <w:rPr>
          <w:rFonts w:hint="eastAsia"/>
        </w:rPr>
      </w:pPr>
      <w:r>
        <w:rPr>
          <w:rFonts w:hint="eastAsia"/>
        </w:rPr>
        <w:t>以生态功能和生物多样性评估为基础，依据所在区域的自然属性、生态价值和管理目标，对现有各类自然保护地进行梳理归类，将</w:t>
      </w:r>
      <w:r>
        <w:rPr>
          <w:rFonts w:hint="eastAsia"/>
          <w:lang w:val="en-US" w:eastAsia="zh-CN"/>
        </w:rPr>
        <w:t>广东省</w:t>
      </w:r>
      <w:r>
        <w:rPr>
          <w:rFonts w:hint="eastAsia"/>
        </w:rPr>
        <w:t>整合优化后的自然保护地分为自然保护区、自然公园</w:t>
      </w:r>
      <w:r>
        <w:rPr>
          <w:rFonts w:hint="eastAsia"/>
          <w:lang w:val="en-US" w:eastAsia="zh-CN"/>
        </w:rPr>
        <w:t>两个</w:t>
      </w:r>
      <w:r>
        <w:rPr>
          <w:rFonts w:hint="eastAsia"/>
        </w:rPr>
        <w:t>大类。</w:t>
      </w:r>
    </w:p>
    <w:p>
      <w:pPr>
        <w:bidi w:val="0"/>
        <w:rPr>
          <w:rFonts w:hint="eastAsia"/>
        </w:rPr>
      </w:pPr>
      <w:r>
        <w:rPr>
          <w:rFonts w:hint="eastAsia"/>
          <w:b/>
          <w:bCs/>
        </w:rPr>
        <w:t>自然保护区：</w:t>
      </w:r>
      <w:r>
        <w:rPr>
          <w:rFonts w:hint="eastAsia"/>
        </w:rPr>
        <w:t>将典型自然生态系统、珍稀濒危野生动植物种天然集中分布区、有特殊意义的自然遗迹划为自然保护区。现有自然保护区原则上继续保留，无明确保护对象、无重要保护价值的省级、市县级自然保护区经评估后可转为自然公园，或予以撤销。</w:t>
      </w:r>
    </w:p>
    <w:p>
      <w:pPr>
        <w:bidi w:val="0"/>
        <w:rPr>
          <w:rFonts w:hint="eastAsia"/>
        </w:rPr>
      </w:pPr>
      <w:r>
        <w:rPr>
          <w:rFonts w:hint="eastAsia"/>
          <w:b/>
          <w:bCs/>
        </w:rPr>
        <w:t>自然公园：</w:t>
      </w:r>
      <w:r>
        <w:rPr>
          <w:rFonts w:hint="eastAsia"/>
        </w:rPr>
        <w:t>将具有生态、观赏、文化、科学等价值的重要自然区域划为自然公园。除自然保护区外，现有其他自然保护地依据主体生态系统、自然遗迹、自然景观所属类型，分为风景名胜区、森林公园、地质公园、湿地公园、海洋公园、沙漠公园，经评估后也可转为地方级自然保护区或予以撤销。现有海洋特别保护区经评估后转为自然保护区，或按海洋公园保留，今后不再设立海洋特别保护区。</w:t>
      </w:r>
    </w:p>
    <w:p>
      <w:pPr>
        <w:widowControl w:val="0"/>
        <w:adjustRightInd w:val="0"/>
        <w:snapToGrid w:val="0"/>
        <w:spacing w:line="578"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 分级规则</w:t>
      </w:r>
    </w:p>
    <w:p>
      <w:pPr>
        <w:bidi w:val="0"/>
        <w:rPr>
          <w:rFonts w:hint="eastAsia"/>
        </w:rPr>
      </w:pPr>
      <w:r>
        <w:rPr>
          <w:rFonts w:hint="eastAsia"/>
        </w:rPr>
        <w:t>将现有国家级、省级、市级、县</w:t>
      </w:r>
      <w:r>
        <w:rPr>
          <w:rFonts w:hint="eastAsia"/>
          <w:lang w:eastAsia="zh-CN"/>
        </w:rPr>
        <w:t>（</w:t>
      </w:r>
      <w:r>
        <w:rPr>
          <w:rFonts w:hint="eastAsia"/>
          <w:lang w:val="en-US" w:eastAsia="zh-CN"/>
        </w:rPr>
        <w:t>区</w:t>
      </w:r>
      <w:r>
        <w:rPr>
          <w:rFonts w:hint="eastAsia"/>
          <w:lang w:eastAsia="zh-CN"/>
        </w:rPr>
        <w:t>）</w:t>
      </w:r>
      <w:r>
        <w:rPr>
          <w:rFonts w:hint="eastAsia"/>
        </w:rPr>
        <w:t>级等各级自然保护地，按照生态系统重要程度和事权划分原则，实行分级设立、分级管理，分为国家级和地方级。国家级自然保护区、国家级风景名胜区由国务院批准设立、调整、撤销，其他国家级自然公园由国家林草局批准设立、调整、撤销；地方级自然保护地由省级政府批准设立、调整、撤销，管理主体由省级政府确定。探索公益治理、社区治理、共同治理等保护方式。</w:t>
      </w:r>
    </w:p>
    <w:p>
      <w:pPr>
        <w:bidi w:val="0"/>
        <w:rPr>
          <w:rFonts w:hint="eastAsia"/>
        </w:rPr>
      </w:pPr>
      <w:r>
        <w:rPr>
          <w:rFonts w:hint="eastAsia"/>
        </w:rPr>
        <w:t>现有国家级自然公园，经评估可以转为地方级自然保护地。现有省级、市级、县级自然保护地原则上统一改称为地方级自然保护地；经评估不具备保护价值的，可以撤销。</w:t>
      </w:r>
    </w:p>
    <w:p>
      <w:pPr>
        <w:pStyle w:val="4"/>
        <w:keepNext w:val="0"/>
        <w:keepLines w:val="0"/>
        <w:widowControl w:val="0"/>
        <w:adjustRightInd w:val="0"/>
        <w:snapToGrid w:val="0"/>
        <w:spacing w:before="0" w:after="0" w:line="578" w:lineRule="atLeast"/>
        <w:ind w:firstLine="643" w:firstLineChars="200"/>
        <w:jc w:val="both"/>
        <w:rPr>
          <w:rFonts w:hint="eastAsia" w:ascii="楷体" w:hAnsi="楷体" w:eastAsia="楷体" w:cs="楷体"/>
        </w:rPr>
      </w:pPr>
      <w:bookmarkStart w:id="132" w:name="_Toc118716376"/>
      <w:bookmarkStart w:id="133" w:name="_Toc22325"/>
      <w:bookmarkStart w:id="134" w:name="_Toc20538"/>
      <w:bookmarkStart w:id="135" w:name="_Toc18076"/>
      <w:bookmarkStart w:id="136" w:name="_Toc3417"/>
      <w:r>
        <w:rPr>
          <w:rFonts w:hint="eastAsia" w:ascii="楷体" w:hAnsi="楷体" w:eastAsia="楷体" w:cs="楷体"/>
        </w:rPr>
        <w:t>（二）整合归并规则</w:t>
      </w:r>
      <w:bookmarkEnd w:id="132"/>
      <w:bookmarkEnd w:id="133"/>
      <w:bookmarkEnd w:id="134"/>
      <w:bookmarkEnd w:id="135"/>
      <w:bookmarkEnd w:id="136"/>
    </w:p>
    <w:p>
      <w:pPr>
        <w:bidi w:val="0"/>
      </w:pPr>
      <w:r>
        <w:rPr>
          <w:rFonts w:hint="eastAsia"/>
        </w:rPr>
        <w:t>以保持生态系统多样性、系统性、持续性为原则，遵从保护面积不减少、保护强度不降低、保护性质不改变的要求，按照同级别保护强度优先、不同级别低级别服从高级别的原则，对交叉重叠、相邻相连的自然保护地进行整合，或结合资源禀赋、发展目标、管理基础等实际情况，进行合理拆分，做到一个区域只有一个自然保护地、一套机构、一块牌子。</w:t>
      </w:r>
    </w:p>
    <w:p>
      <w:pPr>
        <w:widowControl w:val="0"/>
        <w:adjustRightInd w:val="0"/>
        <w:snapToGrid w:val="0"/>
        <w:spacing w:line="578" w:lineRule="atLeas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1.自然保护区</w:t>
      </w:r>
    </w:p>
    <w:p>
      <w:pPr>
        <w:bidi w:val="0"/>
        <w:rPr>
          <w:rFonts w:hint="eastAsia"/>
        </w:rPr>
      </w:pPr>
      <w:r>
        <w:rPr>
          <w:rFonts w:hint="eastAsia"/>
        </w:rPr>
        <w:t>国家级自然保护区与国家级风景名胜区交叉重叠的，经评估后可以进行合理拆分、各自保留；与其他自然保护地交叉重叠的，优先保留国家级自然保护区。省级自然保护区与省级及以下其他自然保护地重叠的，优先保留省级自然保护区。</w:t>
      </w:r>
    </w:p>
    <w:p>
      <w:pPr>
        <w:widowControl w:val="0"/>
        <w:adjustRightInd w:val="0"/>
        <w:snapToGrid w:val="0"/>
        <w:spacing w:line="578" w:lineRule="atLeast"/>
        <w:ind w:firstLine="643" w:firstLineChars="200"/>
        <w:jc w:val="both"/>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2</w:t>
      </w:r>
      <w:r>
        <w:rPr>
          <w:rFonts w:hint="eastAsia" w:ascii="仿宋_GB2312" w:hAnsi="仿宋_GB2312" w:eastAsia="仿宋_GB2312" w:cs="仿宋_GB2312"/>
          <w:b/>
          <w:sz w:val="32"/>
          <w:szCs w:val="32"/>
        </w:rPr>
        <w:t>. 自然公园</w:t>
      </w:r>
    </w:p>
    <w:p>
      <w:pPr>
        <w:bidi w:val="0"/>
      </w:pPr>
      <w:r>
        <w:rPr>
          <w:rFonts w:hint="eastAsia"/>
        </w:rPr>
        <w:t>风景名胜区、森林公园、地质公园、湿地公园、沙漠公园相互交叉重叠的，原则上由设立审批层级高的整合低级别的，特殊情况下可根据实际情况整合归并或进行合理拆分。考虑到风景名胜区的特殊性，其生态功能极重要、生态环境极脆弱的区域划入生态保护红线，其他人文设施密集或开发利用强度大的区域不划入生态保护红线，按《风景名胜区条例》进行管理。</w:t>
      </w:r>
    </w:p>
    <w:p>
      <w:pPr>
        <w:pStyle w:val="4"/>
        <w:keepNext w:val="0"/>
        <w:keepLines w:val="0"/>
        <w:widowControl w:val="0"/>
        <w:adjustRightInd w:val="0"/>
        <w:snapToGrid w:val="0"/>
        <w:spacing w:before="0" w:after="0" w:line="578" w:lineRule="atLeast"/>
        <w:ind w:firstLine="643" w:firstLineChars="200"/>
        <w:jc w:val="both"/>
        <w:rPr>
          <w:rFonts w:hint="eastAsia" w:ascii="楷体" w:hAnsi="楷体" w:eastAsia="楷体" w:cs="楷体"/>
        </w:rPr>
      </w:pPr>
      <w:bookmarkStart w:id="137" w:name="_Toc6333"/>
      <w:bookmarkStart w:id="138" w:name="_Toc8409"/>
      <w:bookmarkStart w:id="139" w:name="_Toc118716377"/>
      <w:bookmarkStart w:id="140" w:name="_Toc9241"/>
      <w:bookmarkStart w:id="141" w:name="_Toc25334"/>
      <w:r>
        <w:rPr>
          <w:rFonts w:hint="eastAsia" w:ascii="楷体" w:hAnsi="楷体" w:eastAsia="楷体" w:cs="楷体"/>
        </w:rPr>
        <w:t>（三）分区优化规则</w:t>
      </w:r>
      <w:bookmarkEnd w:id="137"/>
      <w:bookmarkEnd w:id="138"/>
      <w:bookmarkEnd w:id="139"/>
      <w:bookmarkEnd w:id="140"/>
      <w:bookmarkEnd w:id="141"/>
    </w:p>
    <w:p>
      <w:pPr>
        <w:bidi w:val="0"/>
        <w:rPr>
          <w:rFonts w:hint="eastAsia"/>
        </w:rPr>
      </w:pPr>
      <w:r>
        <w:rPr>
          <w:rFonts w:hint="eastAsia"/>
        </w:rPr>
        <w:t>基于功能定位，按照各区域的生态价值、原真性、人类活动强度，对自然保护地合理分区，实行差别化管理。自然保护区由核心保护区、一般控制区组成，原则上核心保护区禁止人为活动，一般控制区限制人为活动。自然公园按一般控制区管理。</w:t>
      </w:r>
    </w:p>
    <w:p>
      <w:pPr>
        <w:bidi w:val="0"/>
        <w:rPr>
          <w:rFonts w:hint="eastAsia"/>
        </w:rPr>
      </w:pPr>
      <w:r>
        <w:rPr>
          <w:rFonts w:hint="eastAsia"/>
        </w:rPr>
        <w:t>原则上，将现有自然保护区的核心区、缓冲区转为核心保护区，实验区转为一般控制区。自然保护区核心区、缓冲区内的合法水利水电等设施、历史文化名村、少数民族特色村寨和重要人文景观合法建筑，包括有历史文化价值的遗址遗迹、寺庙、名人故居、纪念馆等，调整为一般控制区。自然保护区实验区内无人为活动且具有重要保护价值的区域，特别是国家和省级重点保护野生动植物的关键分布区域、生态廊道的重要节点、重要自然遗迹等，调整为核心保护区。</w:t>
      </w:r>
    </w:p>
    <w:p>
      <w:pPr>
        <w:pStyle w:val="4"/>
        <w:keepNext w:val="0"/>
        <w:keepLines w:val="0"/>
        <w:widowControl w:val="0"/>
        <w:adjustRightInd w:val="0"/>
        <w:snapToGrid w:val="0"/>
        <w:spacing w:before="0" w:after="0" w:line="578" w:lineRule="atLeast"/>
        <w:ind w:firstLine="643" w:firstLineChars="200"/>
        <w:jc w:val="both"/>
        <w:rPr>
          <w:rFonts w:hint="eastAsia" w:ascii="楷体" w:hAnsi="楷体" w:eastAsia="楷体" w:cs="楷体"/>
        </w:rPr>
      </w:pPr>
      <w:bookmarkStart w:id="142" w:name="_Toc11664"/>
      <w:bookmarkStart w:id="143" w:name="_Toc21322"/>
      <w:bookmarkStart w:id="144" w:name="_Toc118716378"/>
      <w:bookmarkStart w:id="145" w:name="_Toc26503"/>
      <w:bookmarkStart w:id="146" w:name="_Toc19366"/>
      <w:r>
        <w:rPr>
          <w:rFonts w:hint="eastAsia" w:ascii="楷体" w:hAnsi="楷体" w:eastAsia="楷体" w:cs="楷体"/>
        </w:rPr>
        <w:t>（四）调入规则</w:t>
      </w:r>
      <w:bookmarkEnd w:id="142"/>
      <w:bookmarkEnd w:id="143"/>
      <w:bookmarkEnd w:id="144"/>
      <w:bookmarkEnd w:id="145"/>
      <w:bookmarkEnd w:id="146"/>
    </w:p>
    <w:p>
      <w:pPr>
        <w:bidi w:val="0"/>
        <w:rPr>
          <w:rFonts w:hint="eastAsia"/>
        </w:rPr>
      </w:pPr>
      <w:r>
        <w:rPr>
          <w:rFonts w:hint="eastAsia"/>
        </w:rPr>
        <w:t>坚持生态优先、应划尽划，以自然保护空缺分析结果为指引，结合国土三调最新成果，全域分析森林、湿地、荒漠、海洋</w:t>
      </w:r>
      <w:r>
        <w:rPr>
          <w:rFonts w:hint="eastAsia"/>
          <w:lang w:eastAsia="zh-CN"/>
        </w:rPr>
        <w:t>、</w:t>
      </w:r>
      <w:r>
        <w:rPr>
          <w:rFonts w:hint="eastAsia"/>
        </w:rPr>
        <w:t>地质遗迹等资源分布，将现有自然保护地周边生态保护价值高、生物多样性富集或具有潜在重要生态价值的区域划入自然保护地，提升自然保护地空间完整性和生态廊道连通性。</w:t>
      </w:r>
    </w:p>
    <w:p>
      <w:pPr>
        <w:pStyle w:val="4"/>
        <w:keepNext w:val="0"/>
        <w:keepLines w:val="0"/>
        <w:widowControl w:val="0"/>
        <w:adjustRightInd w:val="0"/>
        <w:snapToGrid w:val="0"/>
        <w:spacing w:before="0" w:after="0" w:line="578" w:lineRule="atLeast"/>
        <w:ind w:firstLine="643" w:firstLineChars="200"/>
        <w:jc w:val="both"/>
        <w:rPr>
          <w:rFonts w:hint="eastAsia" w:ascii="楷体" w:hAnsi="楷体" w:eastAsia="楷体" w:cs="楷体"/>
        </w:rPr>
      </w:pPr>
      <w:bookmarkStart w:id="147" w:name="_Toc8199"/>
      <w:bookmarkStart w:id="148" w:name="_Toc26258"/>
      <w:bookmarkStart w:id="149" w:name="_Toc15460"/>
      <w:bookmarkStart w:id="150" w:name="_Toc27899"/>
      <w:bookmarkStart w:id="151" w:name="_Toc118716379"/>
      <w:r>
        <w:rPr>
          <w:rFonts w:hint="eastAsia" w:ascii="楷体" w:hAnsi="楷体" w:eastAsia="楷体" w:cs="楷体"/>
        </w:rPr>
        <w:t>（五）矛盾冲突处理规则</w:t>
      </w:r>
      <w:bookmarkEnd w:id="147"/>
      <w:bookmarkEnd w:id="148"/>
      <w:bookmarkEnd w:id="149"/>
      <w:bookmarkEnd w:id="150"/>
      <w:bookmarkEnd w:id="151"/>
    </w:p>
    <w:p>
      <w:pPr>
        <w:bidi w:val="0"/>
        <w:rPr>
          <w:rFonts w:hint="eastAsia"/>
        </w:rPr>
      </w:pPr>
      <w:r>
        <w:rPr>
          <w:rFonts w:hint="eastAsia"/>
        </w:rPr>
        <w:t>坚持底线思维，优先保障粮食安全、生态安全，兼顾能源资源需求，在科学评估的基础上，本着尊重历史、实事求是、相对合理的原则，妥善处理各类矛盾冲突。对标生态保护红线划定和国土空间治理要求，将不符合管控要求的矛盾冲突空间调出自然保护地范围，同时修订完善自然保护地法律法规，允许适度开展一些对生态环境不造成明显影响的人类活动，实现人与自然和谐共生。</w:t>
      </w:r>
    </w:p>
    <w:p>
      <w:pPr>
        <w:widowControl w:val="0"/>
        <w:adjustRightInd w:val="0"/>
        <w:snapToGrid w:val="0"/>
        <w:spacing w:line="578" w:lineRule="atLeas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 问题点位</w:t>
      </w:r>
    </w:p>
    <w:p>
      <w:pPr>
        <w:bidi w:val="0"/>
        <w:rPr>
          <w:rFonts w:hint="eastAsia"/>
        </w:rPr>
      </w:pPr>
      <w:r>
        <w:rPr>
          <w:rFonts w:hint="eastAsia"/>
        </w:rPr>
        <w:t>对中央生态环境保护督察、自然保护地绿盾专项行动，以及违建别墅、高尔夫球场、小水电等清理整治专项行动涉及的问题点位，对照问题清单进行梳理，对标相关整改方案要求妥善处理，严禁简单地以调代改、一调了之。</w:t>
      </w:r>
    </w:p>
    <w:p>
      <w:pPr>
        <w:widowControl w:val="0"/>
        <w:adjustRightInd w:val="0"/>
        <w:snapToGrid w:val="0"/>
        <w:spacing w:line="578" w:lineRule="atLeas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 耕地及永久基本农田</w:t>
      </w:r>
    </w:p>
    <w:p>
      <w:pPr>
        <w:bidi w:val="0"/>
        <w:rPr>
          <w:rFonts w:hint="eastAsia"/>
        </w:rPr>
      </w:pPr>
      <w:r>
        <w:rPr>
          <w:rFonts w:hint="eastAsia"/>
        </w:rPr>
        <w:t>核心保护区内的耕地原则上不予调出，今后逐步转为生态用地。一般控制区内集中连片的稳定耕地，因划定永久基本农田需要，可以调出自然保护地范围，但零星分散的、承载保护生态和农耕文化双重功能的梯田，或旗舰物种重要觅食地的，不予调出，按一般耕地进行管理。</w:t>
      </w:r>
    </w:p>
    <w:p>
      <w:pPr>
        <w:widowControl w:val="0"/>
        <w:adjustRightInd w:val="0"/>
        <w:snapToGrid w:val="0"/>
        <w:spacing w:line="578" w:lineRule="atLeas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 人工商品林</w:t>
      </w:r>
    </w:p>
    <w:p>
      <w:pPr>
        <w:bidi w:val="0"/>
        <w:rPr>
          <w:rFonts w:hint="eastAsia"/>
        </w:rPr>
      </w:pPr>
      <w:r>
        <w:rPr>
          <w:rFonts w:hint="eastAsia"/>
        </w:rPr>
        <w:t>成片人工商品林可以调出自然保护地范围，但位于重要江河干流源头两岸、重要湿地和水库周边等五类重要生态区位的，不予调出。鼓励地方政府通过租赁、置换、赎买、合作等方式，对自然保护地内的人工商品林进行统一管理，维护产权人权益，实现多元化保护，逐步转为生态公益林。今后核心保护区内的人工商品林因防灾救灾、栖息地优化等需要，经审批后可以进行树种更替和林相改造；一般控制区内的人工商品林，可以依法进行必要的抚育采伐。</w:t>
      </w:r>
    </w:p>
    <w:p>
      <w:pPr>
        <w:widowControl w:val="0"/>
        <w:adjustRightInd w:val="0"/>
        <w:snapToGrid w:val="0"/>
        <w:spacing w:line="578" w:lineRule="atLeas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 矿业权</w:t>
      </w:r>
    </w:p>
    <w:p>
      <w:pPr>
        <w:bidi w:val="0"/>
        <w:rPr>
          <w:rFonts w:hint="eastAsia"/>
        </w:rPr>
      </w:pPr>
      <w:r>
        <w:rPr>
          <w:rFonts w:hint="eastAsia"/>
        </w:rPr>
        <w:t>自然保护地核心保护区内的矿业权原则上不予调出。一般控制区内的矿业权，符合生态保护红线关于矿业权分类处置规定的可以保留在自然保护地内；其他矿业权，对生态功能不造成明显影响的可调出自然保护地范围，造成明显影响的如露天砂石粘土矿不予调出。已依法设立的油气探矿权，在满足有关生态环保和安全生产要求的前提下，可继续开展勘查活动，当探明储量并大比例压缩范围后，可将开采活动占用的地面空间调出自然保护地。</w:t>
      </w:r>
    </w:p>
    <w:p>
      <w:pPr>
        <w:widowControl w:val="0"/>
        <w:adjustRightInd w:val="0"/>
        <w:snapToGrid w:val="0"/>
        <w:spacing w:line="578" w:lineRule="atLeast"/>
        <w:ind w:left="0"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 开发区和城镇村</w:t>
      </w:r>
    </w:p>
    <w:p>
      <w:pPr>
        <w:bidi w:val="0"/>
        <w:rPr>
          <w:rFonts w:hint="eastAsia"/>
        </w:rPr>
      </w:pPr>
      <w:r>
        <w:rPr>
          <w:rFonts w:hint="eastAsia"/>
        </w:rPr>
        <w:t>自然保护地内的开发区和城镇、人口密集的村屯，可以调出自然保护地范围；零星分散的自然村落、居民点不予调出。今后结合城镇化和乡村规划的实施，严格控制增量，逐步消化存量。允许原住民和其他合法权益主体在不扩大规模的前提下，修缮必要的生产生活设施，适度开展种植、放牧、捕捞、养殖等活动。</w:t>
      </w:r>
    </w:p>
    <w:p>
      <w:pPr>
        <w:widowControl w:val="0"/>
        <w:adjustRightInd w:val="0"/>
        <w:snapToGrid w:val="0"/>
        <w:spacing w:line="578" w:lineRule="atLeas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 项目设施用地</w:t>
      </w:r>
    </w:p>
    <w:p>
      <w:pPr>
        <w:bidi w:val="0"/>
        <w:rPr>
          <w:rFonts w:hint="eastAsia"/>
        </w:rPr>
      </w:pPr>
      <w:r>
        <w:rPr>
          <w:rFonts w:hint="eastAsia"/>
        </w:rPr>
        <w:t>衔接发展规划、国土空间规划和各类专项规划，对照生态保护红线管控要求，部分选址明确的能源、交通、水利等重大项目，以及一些精准扶贫或乡村振兴项目、已立项或已建成但与生态保护红线管控要求冲突的项目设施用地，经举证后可以调出自然保护地范围。另外，涉海自然保护地内的确权养殖用海，经举证后可以调出保护地范围。</w:t>
      </w:r>
    </w:p>
    <w:p>
      <w:pPr>
        <w:widowControl w:val="0"/>
        <w:adjustRightInd w:val="0"/>
        <w:snapToGrid w:val="0"/>
        <w:spacing w:line="578" w:lineRule="atLeast"/>
        <w:ind w:firstLine="643"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 其他</w:t>
      </w:r>
    </w:p>
    <w:p>
      <w:pPr>
        <w:bidi w:val="0"/>
        <w:rPr>
          <w:rFonts w:hint="eastAsia"/>
        </w:rPr>
      </w:pPr>
      <w:r>
        <w:rPr>
          <w:rFonts w:hint="eastAsia"/>
        </w:rPr>
        <w:t>对少数已基本丧失自然属性，无明确保护对象、无重要保护价值、无法实际落地的自然保护地，经评估后可以不再保留。对因调出各类矛盾冲突连带产生的破碎地块，以及过去因技术原因引起的数据、图件与现地不符等地块，可一次性予以纠正。</w:t>
      </w:r>
    </w:p>
    <w:p>
      <w:pPr>
        <w:rPr>
          <w:rFonts w:ascii="黑体" w:hAnsi="黑体" w:eastAsia="黑体"/>
          <w:sz w:val="32"/>
          <w:szCs w:val="32"/>
        </w:rPr>
      </w:pPr>
      <w:r>
        <w:rPr>
          <w:rFonts w:ascii="黑体" w:hAnsi="黑体" w:eastAsia="黑体"/>
          <w:sz w:val="32"/>
          <w:szCs w:val="32"/>
        </w:rPr>
        <w:br w:type="page"/>
      </w:r>
    </w:p>
    <w:p>
      <w:pPr>
        <w:pStyle w:val="3"/>
        <w:keepNext w:val="0"/>
        <w:keepLines w:val="0"/>
        <w:widowControl/>
        <w:adjustRightInd w:val="0"/>
        <w:snapToGrid w:val="0"/>
        <w:spacing w:before="0" w:after="0" w:line="600" w:lineRule="atLeast"/>
        <w:ind w:firstLine="643" w:firstLineChars="200"/>
        <w:jc w:val="left"/>
        <w:rPr>
          <w:rFonts w:ascii="黑体" w:hAnsi="黑体" w:eastAsia="黑体"/>
          <w:sz w:val="32"/>
          <w:szCs w:val="32"/>
        </w:rPr>
      </w:pPr>
      <w:bookmarkStart w:id="152" w:name="_Toc118716380"/>
      <w:bookmarkStart w:id="153" w:name="_Toc9826"/>
      <w:bookmarkStart w:id="154" w:name="_Toc10969"/>
      <w:bookmarkStart w:id="155" w:name="_Toc32165"/>
      <w:bookmarkStart w:id="156" w:name="_Toc3190"/>
      <w:r>
        <w:rPr>
          <w:rFonts w:hint="eastAsia" w:ascii="黑体" w:hAnsi="黑体" w:eastAsia="黑体"/>
          <w:sz w:val="32"/>
          <w:szCs w:val="32"/>
        </w:rPr>
        <w:t>四、整合优化结果</w:t>
      </w:r>
      <w:bookmarkEnd w:id="152"/>
      <w:bookmarkEnd w:id="153"/>
      <w:bookmarkEnd w:id="154"/>
      <w:bookmarkEnd w:id="155"/>
      <w:bookmarkEnd w:id="156"/>
    </w:p>
    <w:p>
      <w:pPr>
        <w:bidi w:val="0"/>
        <w:rPr>
          <w:rFonts w:hint="eastAsia"/>
        </w:rPr>
      </w:pPr>
      <w:bookmarkStart w:id="157" w:name="_Toc118716381"/>
      <w:r>
        <w:rPr>
          <w:rFonts w:hint="eastAsia"/>
        </w:rPr>
        <w:t>整合优化后，</w:t>
      </w:r>
      <w:bookmarkStart w:id="158" w:name="_Hlk99868007"/>
      <w:r>
        <w:rPr>
          <w:rFonts w:hint="eastAsia"/>
          <w:lang w:val="en-US" w:eastAsia="zh-CN"/>
        </w:rPr>
        <w:t>揭阳市</w:t>
      </w:r>
      <w:r>
        <w:rPr>
          <w:rFonts w:hint="eastAsia"/>
        </w:rPr>
        <w:t>共有</w:t>
      </w:r>
      <w:r>
        <w:rPr>
          <w:rFonts w:hint="eastAsia"/>
          <w:lang w:val="en-US" w:eastAsia="zh-CN"/>
        </w:rPr>
        <w:t>19</w:t>
      </w:r>
      <w:r>
        <w:rPr>
          <w:rFonts w:hint="eastAsia"/>
        </w:rPr>
        <w:t>个自然保护地，总面积</w:t>
      </w:r>
      <w:r>
        <w:rPr>
          <w:rFonts w:hint="eastAsia"/>
          <w:lang w:val="en-US" w:eastAsia="zh-CN"/>
        </w:rPr>
        <w:t>48298.33</w:t>
      </w:r>
      <w:r>
        <w:rPr>
          <w:rFonts w:hint="eastAsia"/>
        </w:rPr>
        <w:t>公顷，其中陆域面积</w:t>
      </w:r>
      <w:r>
        <w:rPr>
          <w:rFonts w:hint="eastAsia"/>
          <w:lang w:val="en-US" w:eastAsia="zh-CN"/>
        </w:rPr>
        <w:t>48298.33</w:t>
      </w:r>
      <w:r>
        <w:rPr>
          <w:rFonts w:hint="eastAsia"/>
        </w:rPr>
        <w:t>公顷，占</w:t>
      </w:r>
      <w:r>
        <w:rPr>
          <w:rFonts w:hint="eastAsia"/>
          <w:lang w:val="en-US" w:eastAsia="zh-CN"/>
        </w:rPr>
        <w:t>揭阳市</w:t>
      </w:r>
      <w:r>
        <w:rPr>
          <w:rFonts w:hint="eastAsia"/>
        </w:rPr>
        <w:t>陆域国土总面积的</w:t>
      </w:r>
      <w:r>
        <w:rPr>
          <w:rFonts w:hint="eastAsia"/>
          <w:lang w:val="en-US" w:eastAsia="zh-CN"/>
        </w:rPr>
        <w:t>9.22</w:t>
      </w:r>
      <w:r>
        <w:rPr>
          <w:rFonts w:hint="eastAsia"/>
        </w:rPr>
        <w:t>%；海域面积</w:t>
      </w:r>
      <w:r>
        <w:rPr>
          <w:rFonts w:hint="eastAsia"/>
          <w:lang w:val="en-US" w:eastAsia="zh-CN"/>
        </w:rPr>
        <w:t>0</w:t>
      </w:r>
      <w:r>
        <w:rPr>
          <w:rFonts w:hint="eastAsia"/>
        </w:rPr>
        <w:t>公顷。</w:t>
      </w:r>
    </w:p>
    <w:bookmarkEnd w:id="158"/>
    <w:p>
      <w:pPr>
        <w:pStyle w:val="4"/>
        <w:keepNext w:val="0"/>
        <w:keepLines w:val="0"/>
        <w:widowControl w:val="0"/>
        <w:adjustRightInd w:val="0"/>
        <w:snapToGrid w:val="0"/>
        <w:spacing w:before="0" w:after="0" w:line="578" w:lineRule="atLeast"/>
        <w:ind w:firstLine="643" w:firstLineChars="200"/>
        <w:jc w:val="both"/>
        <w:rPr>
          <w:rFonts w:hint="eastAsia" w:ascii="楷体" w:hAnsi="楷体" w:eastAsia="楷体" w:cs="楷体"/>
        </w:rPr>
      </w:pPr>
      <w:bookmarkStart w:id="159" w:name="_Toc29359"/>
      <w:bookmarkStart w:id="160" w:name="_Toc6306"/>
      <w:bookmarkStart w:id="161" w:name="_Toc25183"/>
      <w:bookmarkStart w:id="162" w:name="_Toc10622"/>
      <w:r>
        <w:rPr>
          <w:rFonts w:hint="eastAsia" w:ascii="楷体" w:hAnsi="楷体" w:eastAsia="楷体" w:cs="楷体"/>
        </w:rPr>
        <w:t>（一）分类分级</w:t>
      </w:r>
      <w:bookmarkEnd w:id="157"/>
      <w:bookmarkEnd w:id="159"/>
      <w:bookmarkEnd w:id="160"/>
      <w:bookmarkEnd w:id="161"/>
      <w:bookmarkEnd w:id="162"/>
    </w:p>
    <w:p>
      <w:pPr>
        <w:bidi w:val="0"/>
        <w:rPr>
          <w:rFonts w:hint="eastAsia"/>
        </w:rPr>
      </w:pPr>
      <w:r>
        <w:rPr>
          <w:rFonts w:hint="eastAsia"/>
        </w:rPr>
        <w:t>按类型，自然保护地分为国家公园、自然保护区、自然公园三大类。按批准设立层级，自然保护地分为国家级、地方级。其中，国家级自然保护区、国家级风景名胜区由国务院批准设立，其他国家级自然公园由国家林草局批准设立；地方级自然保护地由省级人民政府批准设立。</w:t>
      </w:r>
    </w:p>
    <w:p>
      <w:pPr>
        <w:widowControl w:val="0"/>
        <w:adjustRightInd w:val="0"/>
        <w:snapToGrid w:val="0"/>
        <w:spacing w:line="578" w:lineRule="exact"/>
        <w:ind w:firstLine="643" w:firstLineChars="200"/>
        <w:jc w:val="both"/>
        <w:rPr>
          <w:rFonts w:hint="eastAsia" w:ascii="仿宋_GB2312" w:hAnsi="仿宋_GB2312" w:eastAsia="仿宋_GB2312" w:cs="仿宋_GB2312"/>
          <w:b/>
          <w:sz w:val="32"/>
          <w:szCs w:val="32"/>
        </w:rPr>
      </w:pPr>
      <w:bookmarkStart w:id="163" w:name="_Toc60222813"/>
      <w:r>
        <w:rPr>
          <w:rFonts w:hint="eastAsia" w:ascii="仿宋_GB2312" w:hAnsi="仿宋_GB2312" w:eastAsia="仿宋_GB2312" w:cs="仿宋_GB2312"/>
          <w:b/>
          <w:sz w:val="32"/>
          <w:szCs w:val="32"/>
          <w:lang w:val="en-US" w:eastAsia="zh-CN"/>
        </w:rPr>
        <w:t>1</w:t>
      </w:r>
      <w:r>
        <w:rPr>
          <w:rFonts w:hint="eastAsia" w:ascii="仿宋_GB2312" w:hAnsi="仿宋_GB2312" w:eastAsia="仿宋_GB2312" w:cs="仿宋_GB2312"/>
          <w:b/>
          <w:sz w:val="32"/>
          <w:szCs w:val="32"/>
        </w:rPr>
        <w:t>. 自然保护区</w:t>
      </w:r>
      <w:bookmarkEnd w:id="163"/>
    </w:p>
    <w:p>
      <w:pPr>
        <w:bidi w:val="0"/>
        <w:rPr>
          <w:rFonts w:hint="eastAsia" w:eastAsia="仿宋_GB2312"/>
          <w:lang w:val="en-US" w:eastAsia="zh-CN"/>
        </w:rPr>
      </w:pPr>
      <w:bookmarkStart w:id="164" w:name="_Hlk99868137"/>
      <w:r>
        <w:rPr>
          <w:rFonts w:hint="eastAsia"/>
        </w:rPr>
        <w:t>整合优化后自然保护区</w:t>
      </w:r>
      <w:r>
        <w:rPr>
          <w:rFonts w:hint="eastAsia"/>
          <w:lang w:val="en-US" w:eastAsia="zh-CN"/>
        </w:rPr>
        <w:t>5</w:t>
      </w:r>
      <w:r>
        <w:rPr>
          <w:rFonts w:hint="eastAsia"/>
        </w:rPr>
        <w:t>个，总面积</w:t>
      </w:r>
      <w:r>
        <w:rPr>
          <w:rFonts w:hint="eastAsia"/>
          <w:lang w:val="en-US" w:eastAsia="zh-CN"/>
        </w:rPr>
        <w:t>23569.38</w:t>
      </w:r>
      <w:r>
        <w:rPr>
          <w:rFonts w:hint="eastAsia"/>
        </w:rPr>
        <w:t>公顷，占自然保护地总面积</w:t>
      </w:r>
      <w:r>
        <w:rPr>
          <w:rFonts w:hint="eastAsia"/>
          <w:lang w:val="en-US" w:eastAsia="zh-CN"/>
        </w:rPr>
        <w:t>48.80</w:t>
      </w:r>
      <w:r>
        <w:rPr>
          <w:rFonts w:hint="eastAsia"/>
        </w:rPr>
        <w:t>%。</w:t>
      </w:r>
      <w:r>
        <w:rPr>
          <w:rFonts w:hint="eastAsia"/>
          <w:lang w:val="en-US" w:eastAsia="zh-CN"/>
        </w:rPr>
        <w:t>其中：</w:t>
      </w:r>
    </w:p>
    <w:p>
      <w:pPr>
        <w:bidi w:val="0"/>
        <w:rPr>
          <w:rFonts w:hint="eastAsia"/>
        </w:rPr>
      </w:pPr>
      <w:r>
        <w:rPr>
          <w:rFonts w:hint="eastAsia"/>
          <w:lang w:val="en-US" w:eastAsia="zh-CN"/>
        </w:rPr>
        <w:t>省级</w:t>
      </w:r>
      <w:r>
        <w:rPr>
          <w:rFonts w:hint="eastAsia"/>
        </w:rPr>
        <w:t>自然保护区</w:t>
      </w:r>
      <w:r>
        <w:rPr>
          <w:rFonts w:hint="eastAsia"/>
          <w:lang w:val="en-US" w:eastAsia="zh-CN"/>
        </w:rPr>
        <w:t>2</w:t>
      </w:r>
      <w:r>
        <w:rPr>
          <w:rFonts w:hint="eastAsia"/>
        </w:rPr>
        <w:t>个，面积</w:t>
      </w:r>
      <w:r>
        <w:rPr>
          <w:rFonts w:hint="eastAsia"/>
          <w:lang w:val="en-US" w:eastAsia="zh-CN"/>
        </w:rPr>
        <w:t>10164.11</w:t>
      </w:r>
      <w:r>
        <w:rPr>
          <w:rFonts w:hint="eastAsia"/>
        </w:rPr>
        <w:t>公顷，占自然保护区总面积的</w:t>
      </w:r>
      <w:r>
        <w:rPr>
          <w:rFonts w:hint="eastAsia"/>
          <w:lang w:val="en-US" w:eastAsia="zh-CN"/>
        </w:rPr>
        <w:t>43.12</w:t>
      </w:r>
      <w:r>
        <w:rPr>
          <w:rFonts w:hint="eastAsia"/>
        </w:rPr>
        <w:t>%。</w:t>
      </w:r>
    </w:p>
    <w:p>
      <w:pPr>
        <w:bidi w:val="0"/>
        <w:rPr>
          <w:rFonts w:hint="eastAsia"/>
        </w:rPr>
      </w:pPr>
      <w:r>
        <w:rPr>
          <w:rFonts w:hint="eastAsia"/>
          <w:lang w:val="en-US" w:eastAsia="zh-CN"/>
        </w:rPr>
        <w:t>市</w:t>
      </w:r>
      <w:r>
        <w:rPr>
          <w:rFonts w:hint="eastAsia"/>
        </w:rPr>
        <w:t>级自然保护区</w:t>
      </w:r>
      <w:r>
        <w:rPr>
          <w:rFonts w:hint="eastAsia"/>
          <w:lang w:val="en-US" w:eastAsia="zh-CN"/>
        </w:rPr>
        <w:t>3</w:t>
      </w:r>
      <w:r>
        <w:rPr>
          <w:rFonts w:hint="eastAsia"/>
        </w:rPr>
        <w:t>个，面积</w:t>
      </w:r>
      <w:r>
        <w:rPr>
          <w:rFonts w:hint="eastAsia"/>
          <w:lang w:val="en-US" w:eastAsia="zh-CN"/>
        </w:rPr>
        <w:t>13405.27</w:t>
      </w:r>
      <w:r>
        <w:rPr>
          <w:rFonts w:hint="eastAsia"/>
        </w:rPr>
        <w:t>公顷，占自然保护区总面积的</w:t>
      </w:r>
      <w:r>
        <w:rPr>
          <w:rFonts w:hint="eastAsia"/>
          <w:lang w:val="en-US" w:eastAsia="zh-CN"/>
        </w:rPr>
        <w:t>56.88</w:t>
      </w:r>
      <w:r>
        <w:rPr>
          <w:rFonts w:hint="eastAsia"/>
        </w:rPr>
        <w:t>%。</w:t>
      </w:r>
    </w:p>
    <w:bookmarkEnd w:id="164"/>
    <w:p>
      <w:pPr>
        <w:widowControl w:val="0"/>
        <w:adjustRightInd w:val="0"/>
        <w:snapToGrid w:val="0"/>
        <w:spacing w:line="578" w:lineRule="exact"/>
        <w:ind w:firstLine="643" w:firstLineChars="200"/>
        <w:jc w:val="both"/>
        <w:rPr>
          <w:rFonts w:hint="eastAsia" w:ascii="仿宋_GB2312" w:hAnsi="仿宋_GB2312" w:eastAsia="仿宋_GB2312" w:cs="仿宋_GB2312"/>
          <w:b/>
          <w:sz w:val="32"/>
          <w:szCs w:val="32"/>
        </w:rPr>
      </w:pPr>
      <w:bookmarkStart w:id="165" w:name="_Toc60222814"/>
      <w:r>
        <w:rPr>
          <w:rFonts w:hint="eastAsia" w:ascii="仿宋_GB2312" w:hAnsi="仿宋_GB2312" w:eastAsia="仿宋_GB2312" w:cs="仿宋_GB2312"/>
          <w:b/>
          <w:sz w:val="32"/>
          <w:szCs w:val="32"/>
          <w:lang w:val="en-US" w:eastAsia="zh-CN"/>
        </w:rPr>
        <w:t>2</w:t>
      </w:r>
      <w:r>
        <w:rPr>
          <w:rFonts w:hint="eastAsia" w:ascii="仿宋_GB2312" w:hAnsi="仿宋_GB2312" w:eastAsia="仿宋_GB2312" w:cs="仿宋_GB2312"/>
          <w:b/>
          <w:sz w:val="32"/>
          <w:szCs w:val="32"/>
        </w:rPr>
        <w:t>. 自然公园</w:t>
      </w:r>
      <w:bookmarkEnd w:id="165"/>
    </w:p>
    <w:p>
      <w:pPr>
        <w:bidi w:val="0"/>
        <w:rPr>
          <w:rFonts w:hint="eastAsia"/>
        </w:rPr>
      </w:pPr>
      <w:bookmarkStart w:id="166" w:name="_Hlk99868157"/>
      <w:r>
        <w:rPr>
          <w:rFonts w:hint="eastAsia"/>
        </w:rPr>
        <w:t>整合优化后自然公园</w:t>
      </w:r>
      <w:r>
        <w:rPr>
          <w:rFonts w:hint="eastAsia"/>
          <w:lang w:val="en-US" w:eastAsia="zh-CN"/>
        </w:rPr>
        <w:t>14</w:t>
      </w:r>
      <w:r>
        <w:rPr>
          <w:rFonts w:hint="eastAsia"/>
        </w:rPr>
        <w:t>个，总面积</w:t>
      </w:r>
      <w:r>
        <w:rPr>
          <w:rFonts w:hint="eastAsia"/>
          <w:lang w:val="en-US" w:eastAsia="zh-CN"/>
        </w:rPr>
        <w:t>24728.95</w:t>
      </w:r>
      <w:r>
        <w:rPr>
          <w:rFonts w:hint="eastAsia"/>
        </w:rPr>
        <w:t>公顷，占自然保护地总面积的</w:t>
      </w:r>
      <w:r>
        <w:rPr>
          <w:rFonts w:hint="eastAsia"/>
          <w:lang w:val="en-US" w:eastAsia="zh-CN"/>
        </w:rPr>
        <w:t>48.14</w:t>
      </w:r>
      <w:r>
        <w:rPr>
          <w:rFonts w:hint="eastAsia"/>
        </w:rPr>
        <w:t>%。</w:t>
      </w:r>
    </w:p>
    <w:p>
      <w:pPr>
        <w:bidi w:val="0"/>
        <w:rPr>
          <w:rFonts w:hint="eastAsia"/>
        </w:rPr>
      </w:pPr>
      <w:r>
        <w:rPr>
          <w:rFonts w:hint="eastAsia"/>
        </w:rPr>
        <w:t>国家级自然公园</w:t>
      </w:r>
      <w:r>
        <w:rPr>
          <w:rFonts w:hint="eastAsia"/>
          <w:lang w:val="en-US" w:eastAsia="zh-CN"/>
        </w:rPr>
        <w:t>1</w:t>
      </w:r>
      <w:r>
        <w:rPr>
          <w:rFonts w:hint="eastAsia"/>
        </w:rPr>
        <w:t>个，面积</w:t>
      </w:r>
      <w:r>
        <w:rPr>
          <w:rFonts w:hint="eastAsia"/>
          <w:lang w:val="en-US" w:eastAsia="zh-CN"/>
        </w:rPr>
        <w:t>12934.51</w:t>
      </w:r>
      <w:r>
        <w:rPr>
          <w:rFonts w:hint="eastAsia"/>
        </w:rPr>
        <w:t>公顷，占自然公园总面积的</w:t>
      </w:r>
      <w:r>
        <w:rPr>
          <w:rFonts w:hint="eastAsia"/>
          <w:lang w:val="en-US" w:eastAsia="zh-CN"/>
        </w:rPr>
        <w:t>52.31</w:t>
      </w:r>
      <w:r>
        <w:rPr>
          <w:rFonts w:hint="eastAsia"/>
        </w:rPr>
        <w:t>%。</w:t>
      </w:r>
    </w:p>
    <w:p>
      <w:pPr>
        <w:bidi w:val="0"/>
        <w:rPr>
          <w:rFonts w:hint="eastAsia"/>
        </w:rPr>
      </w:pPr>
      <w:r>
        <w:rPr>
          <w:rFonts w:hint="eastAsia"/>
        </w:rPr>
        <w:t>地方级自然公园</w:t>
      </w:r>
      <w:r>
        <w:rPr>
          <w:rFonts w:hint="eastAsia"/>
          <w:lang w:val="en-US" w:eastAsia="zh-CN"/>
        </w:rPr>
        <w:t>13</w:t>
      </w:r>
      <w:r>
        <w:rPr>
          <w:rFonts w:hint="eastAsia"/>
        </w:rPr>
        <w:t>个，面积</w:t>
      </w:r>
      <w:r>
        <w:rPr>
          <w:rFonts w:hint="eastAsia"/>
          <w:lang w:val="en-US" w:eastAsia="zh-CN"/>
        </w:rPr>
        <w:t>11794.44</w:t>
      </w:r>
      <w:r>
        <w:rPr>
          <w:rFonts w:hint="eastAsia"/>
        </w:rPr>
        <w:t>公顷，占自然公园总面积的</w:t>
      </w:r>
      <w:r>
        <w:rPr>
          <w:rFonts w:hint="eastAsia"/>
          <w:lang w:val="en-US" w:eastAsia="zh-CN"/>
        </w:rPr>
        <w:t>47.69</w:t>
      </w:r>
      <w:r>
        <w:rPr>
          <w:rFonts w:hint="eastAsia"/>
        </w:rPr>
        <w:t>%。</w:t>
      </w:r>
    </w:p>
    <w:bookmarkEnd w:id="166"/>
    <w:p>
      <w:pPr>
        <w:pStyle w:val="2"/>
        <w:adjustRightInd w:val="0"/>
        <w:snapToGrid w:val="0"/>
        <w:spacing w:after="0" w:line="578" w:lineRule="exact"/>
        <w:ind w:firstLine="643"/>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）森林公园</w:t>
      </w:r>
    </w:p>
    <w:p>
      <w:pPr>
        <w:bidi w:val="0"/>
        <w:rPr>
          <w:rFonts w:hint="eastAsia"/>
        </w:rPr>
      </w:pPr>
      <w:r>
        <w:rPr>
          <w:rFonts w:hint="eastAsia"/>
        </w:rPr>
        <w:t>整合优化后森林公园</w:t>
      </w:r>
      <w:r>
        <w:rPr>
          <w:rFonts w:hint="eastAsia"/>
          <w:lang w:val="en-US" w:eastAsia="zh-CN"/>
        </w:rPr>
        <w:t>12</w:t>
      </w:r>
      <w:r>
        <w:rPr>
          <w:rFonts w:hint="eastAsia"/>
        </w:rPr>
        <w:t>个，面积</w:t>
      </w:r>
      <w:r>
        <w:rPr>
          <w:rFonts w:hint="eastAsia"/>
          <w:lang w:val="en-US" w:eastAsia="zh-CN"/>
        </w:rPr>
        <w:t>24251.23</w:t>
      </w:r>
      <w:r>
        <w:rPr>
          <w:rFonts w:hint="eastAsia"/>
        </w:rPr>
        <w:t>公顷，占自然公园总面积</w:t>
      </w:r>
      <w:r>
        <w:rPr>
          <w:rFonts w:hint="eastAsia"/>
          <w:lang w:val="en-US" w:eastAsia="zh-CN"/>
        </w:rPr>
        <w:t>98.07</w:t>
      </w:r>
      <w:r>
        <w:rPr>
          <w:rFonts w:hint="eastAsia"/>
        </w:rPr>
        <w:t>%。</w:t>
      </w:r>
    </w:p>
    <w:p>
      <w:pPr>
        <w:bidi w:val="0"/>
        <w:rPr>
          <w:rFonts w:hint="eastAsia"/>
        </w:rPr>
      </w:pPr>
      <w:r>
        <w:rPr>
          <w:rFonts w:hint="eastAsia"/>
        </w:rPr>
        <w:t>国家级森林公园</w:t>
      </w:r>
      <w:r>
        <w:rPr>
          <w:rFonts w:hint="eastAsia"/>
          <w:lang w:val="en-US" w:eastAsia="zh-CN"/>
        </w:rPr>
        <w:t>1</w:t>
      </w:r>
      <w:r>
        <w:rPr>
          <w:rFonts w:hint="eastAsia"/>
        </w:rPr>
        <w:t>个，面积</w:t>
      </w:r>
      <w:r>
        <w:rPr>
          <w:rFonts w:hint="eastAsia"/>
          <w:lang w:val="en-US" w:eastAsia="zh-CN"/>
        </w:rPr>
        <w:t>12934.51</w:t>
      </w:r>
      <w:r>
        <w:rPr>
          <w:rFonts w:hint="eastAsia"/>
        </w:rPr>
        <w:t>公顷，占森林公园总面积的</w:t>
      </w:r>
      <w:r>
        <w:rPr>
          <w:rFonts w:hint="eastAsia"/>
          <w:lang w:val="en-US" w:eastAsia="zh-CN"/>
        </w:rPr>
        <w:t>12.46</w:t>
      </w:r>
      <w:r>
        <w:rPr>
          <w:rFonts w:hint="eastAsia"/>
        </w:rPr>
        <w:t>%；地方级森林公园</w:t>
      </w:r>
      <w:r>
        <w:rPr>
          <w:rFonts w:hint="eastAsia"/>
          <w:lang w:val="en-US" w:eastAsia="zh-CN"/>
        </w:rPr>
        <w:t>11</w:t>
      </w:r>
      <w:r>
        <w:rPr>
          <w:rFonts w:hint="eastAsia"/>
        </w:rPr>
        <w:t>个，面积</w:t>
      </w:r>
      <w:r>
        <w:rPr>
          <w:rFonts w:hint="eastAsia"/>
          <w:lang w:val="en-US" w:eastAsia="zh-CN"/>
        </w:rPr>
        <w:t>11316.72</w:t>
      </w:r>
      <w:r>
        <w:rPr>
          <w:rFonts w:hint="eastAsia"/>
        </w:rPr>
        <w:t>公顷占森林公园总面积的</w:t>
      </w:r>
      <w:r>
        <w:rPr>
          <w:rFonts w:hint="eastAsia"/>
          <w:lang w:val="en-US" w:eastAsia="zh-CN"/>
        </w:rPr>
        <w:t>87.54</w:t>
      </w:r>
      <w:r>
        <w:rPr>
          <w:rFonts w:hint="eastAsia"/>
        </w:rPr>
        <w:t>%。</w:t>
      </w:r>
    </w:p>
    <w:p>
      <w:pPr>
        <w:pStyle w:val="2"/>
        <w:adjustRightInd w:val="0"/>
        <w:snapToGrid w:val="0"/>
        <w:spacing w:after="0" w:line="578" w:lineRule="exact"/>
        <w:ind w:firstLine="643"/>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）湿地公园</w:t>
      </w:r>
    </w:p>
    <w:p>
      <w:pPr>
        <w:bidi w:val="0"/>
        <w:rPr>
          <w:rFonts w:hint="eastAsia"/>
        </w:rPr>
      </w:pPr>
      <w:r>
        <w:rPr>
          <w:rFonts w:hint="eastAsia"/>
        </w:rPr>
        <w:t>整合优化后湿地公园</w:t>
      </w:r>
      <w:r>
        <w:rPr>
          <w:rFonts w:hint="eastAsia"/>
          <w:lang w:val="en-US" w:eastAsia="zh-CN"/>
        </w:rPr>
        <w:t>2</w:t>
      </w:r>
      <w:r>
        <w:rPr>
          <w:rFonts w:hint="eastAsia"/>
        </w:rPr>
        <w:t>个，面积</w:t>
      </w:r>
      <w:r>
        <w:rPr>
          <w:rFonts w:hint="eastAsia"/>
          <w:lang w:val="en-US" w:eastAsia="zh-CN"/>
        </w:rPr>
        <w:t>477.72</w:t>
      </w:r>
      <w:r>
        <w:rPr>
          <w:rFonts w:hint="eastAsia"/>
        </w:rPr>
        <w:t>公顷，占自然公园总面积</w:t>
      </w:r>
      <w:r>
        <w:rPr>
          <w:rFonts w:hint="eastAsia"/>
          <w:lang w:val="en-US" w:eastAsia="zh-CN"/>
        </w:rPr>
        <w:t>1.93</w:t>
      </w:r>
      <w:r>
        <w:rPr>
          <w:rFonts w:hint="eastAsia"/>
        </w:rPr>
        <w:t>%</w:t>
      </w:r>
      <w:r>
        <w:rPr>
          <w:rFonts w:hint="eastAsia"/>
          <w:lang w:eastAsia="zh-CN"/>
        </w:rPr>
        <w:t>；</w:t>
      </w:r>
      <w:r>
        <w:rPr>
          <w:rFonts w:hint="eastAsia"/>
          <w:lang w:val="en-US" w:eastAsia="zh-CN"/>
        </w:rPr>
        <w:t>全为</w:t>
      </w:r>
      <w:r>
        <w:rPr>
          <w:rFonts w:hint="eastAsia"/>
        </w:rPr>
        <w:t>地方级湿地公园。</w:t>
      </w:r>
    </w:p>
    <w:p>
      <w:pPr>
        <w:keepNext w:val="0"/>
        <w:keepLines w:val="0"/>
        <w:pageBreakBefore w:val="0"/>
        <w:widowControl/>
        <w:kinsoku/>
        <w:wordWrap/>
        <w:overflowPunct/>
        <w:topLinePunct w:val="0"/>
        <w:autoSpaceDE/>
        <w:autoSpaceDN/>
        <w:bidi w:val="0"/>
        <w:adjustRightInd w:val="0"/>
        <w:snapToGrid w:val="0"/>
        <w:spacing w:before="150" w:beforeLines="50" w:line="240" w:lineRule="auto"/>
        <w:ind w:firstLine="0" w:firstLineChars="0"/>
        <w:jc w:val="center"/>
        <w:textAlignment w:val="auto"/>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表</w:t>
      </w:r>
      <w:r>
        <w:rPr>
          <w:rFonts w:hint="eastAsia" w:ascii="黑体" w:hAnsi="黑体" w:eastAsia="黑体" w:cs="黑体"/>
          <w:color w:val="000000" w:themeColor="text1"/>
          <w:sz w:val="28"/>
          <w:szCs w:val="28"/>
          <w:lang w:val="en-US" w:eastAsia="zh-CN"/>
          <w14:textFill>
            <w14:solidFill>
              <w14:schemeClr w14:val="tx1"/>
            </w14:solidFill>
          </w14:textFill>
        </w:rPr>
        <w:t>4</w:t>
      </w:r>
      <w:r>
        <w:rPr>
          <w:rFonts w:hint="eastAsia"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28"/>
          <w:szCs w:val="28"/>
          <w:lang w:val="en-US" w:eastAsia="zh-CN"/>
          <w14:textFill>
            <w14:solidFill>
              <w14:schemeClr w14:val="tx1"/>
            </w14:solidFill>
          </w14:textFill>
        </w:rPr>
        <w:t>1</w:t>
      </w:r>
      <w:r>
        <w:rPr>
          <w:rFonts w:hint="eastAsia" w:ascii="黑体" w:hAnsi="黑体" w:eastAsia="黑体" w:cs="黑体"/>
          <w:color w:val="000000" w:themeColor="text1"/>
          <w:sz w:val="28"/>
          <w:szCs w:val="28"/>
          <w14:textFill>
            <w14:solidFill>
              <w14:schemeClr w14:val="tx1"/>
            </w14:solidFill>
          </w14:textFill>
        </w:rPr>
        <w:t xml:space="preserve"> </w:t>
      </w:r>
      <w:bookmarkStart w:id="167" w:name="_Hlk99868206"/>
      <w:r>
        <w:rPr>
          <w:rFonts w:hint="eastAsia" w:ascii="黑体" w:hAnsi="黑体" w:eastAsia="黑体" w:cs="黑体"/>
          <w:color w:val="000000" w:themeColor="text1"/>
          <w:sz w:val="28"/>
          <w:szCs w:val="28"/>
          <w14:textFill>
            <w14:solidFill>
              <w14:schemeClr w14:val="tx1"/>
            </w14:solidFill>
          </w14:textFill>
        </w:rPr>
        <w:t>自然保护地分类分级情况</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6"/>
        <w:gridCol w:w="2561"/>
        <w:gridCol w:w="1271"/>
        <w:gridCol w:w="1919"/>
        <w:gridCol w:w="22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序号</w:t>
            </w:r>
          </w:p>
        </w:tc>
        <w:tc>
          <w:tcPr>
            <w:tcW w:w="1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自然保护地类型</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级别</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数量（个）</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面积（公顷）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国家公园</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2"/>
                <w:szCs w:val="22"/>
                <w:u w:val="none"/>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2"/>
                <w:szCs w:val="22"/>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自然保护区</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仿宋_GB2312" w:hAnsi="Times New Roman" w:eastAsia="仿宋_GB2312" w:cs="仿宋_GB2312"/>
                <w:i w:val="0"/>
                <w:iCs w:val="0"/>
                <w:color w:val="000000"/>
                <w:kern w:val="0"/>
                <w:sz w:val="22"/>
                <w:szCs w:val="22"/>
                <w:u w:val="none"/>
                <w:lang w:val="en-US" w:eastAsia="zh-CN" w:bidi="ar"/>
              </w:rPr>
              <w:t>国家级</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2"/>
                <w:szCs w:val="22"/>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2"/>
                <w:szCs w:val="22"/>
                <w:u w:val="none"/>
              </w:rPr>
            </w:pP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_GB2312" w:hAnsi="宋体" w:eastAsia="仿宋_GB2312" w:cs="仿宋_GB2312"/>
                <w:i w:val="0"/>
                <w:iCs w:val="0"/>
                <w:color w:val="000000"/>
                <w:sz w:val="22"/>
                <w:szCs w:val="22"/>
                <w:u w:val="none"/>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仿宋_GB2312" w:hAnsi="Times New Roman" w:eastAsia="仿宋_GB2312" w:cs="仿宋_GB2312"/>
                <w:i w:val="0"/>
                <w:iCs w:val="0"/>
                <w:color w:val="000000"/>
                <w:kern w:val="0"/>
                <w:sz w:val="22"/>
                <w:szCs w:val="22"/>
                <w:u w:val="none"/>
                <w:lang w:val="en-US" w:eastAsia="zh-CN" w:bidi="ar"/>
              </w:rPr>
              <w:t>地方级</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eastAsia="宋体" w:cs="Times New Roman"/>
                <w:i w:val="0"/>
                <w:iCs w:val="0"/>
                <w:color w:val="000000"/>
                <w:kern w:val="0"/>
                <w:sz w:val="22"/>
                <w:szCs w:val="22"/>
                <w:u w:val="none"/>
                <w:lang w:val="en-US" w:eastAsia="zh-CN" w:bidi="ar"/>
              </w:rPr>
              <w:t>23569.38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自然公园</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仿宋_GB2312" w:hAnsi="Times New Roman" w:eastAsia="仿宋_GB2312" w:cs="仿宋_GB2312"/>
                <w:i w:val="0"/>
                <w:iCs w:val="0"/>
                <w:color w:val="000000"/>
                <w:kern w:val="0"/>
                <w:sz w:val="22"/>
                <w:szCs w:val="22"/>
                <w:u w:val="none"/>
                <w:lang w:val="en-US" w:eastAsia="zh-CN" w:bidi="ar"/>
              </w:rPr>
              <w:t>国家级</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eastAsia="宋体" w:cs="Times New Roman"/>
                <w:i w:val="0"/>
                <w:iCs w:val="0"/>
                <w:color w:val="000000"/>
                <w:kern w:val="0"/>
                <w:sz w:val="22"/>
                <w:szCs w:val="22"/>
                <w:u w:val="none"/>
                <w:lang w:val="en-US" w:eastAsia="zh-CN" w:bidi="ar"/>
              </w:rPr>
              <w:t>12934.51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2"/>
                <w:szCs w:val="22"/>
                <w:u w:val="none"/>
              </w:rPr>
            </w:pP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_GB2312" w:hAnsi="宋体" w:eastAsia="仿宋_GB2312" w:cs="仿宋_GB2312"/>
                <w:i w:val="0"/>
                <w:iCs w:val="0"/>
                <w:color w:val="000000"/>
                <w:sz w:val="22"/>
                <w:szCs w:val="22"/>
                <w:u w:val="none"/>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仿宋_GB2312" w:hAnsi="Times New Roman" w:eastAsia="仿宋_GB2312" w:cs="仿宋_GB2312"/>
                <w:i w:val="0"/>
                <w:iCs w:val="0"/>
                <w:color w:val="000000"/>
                <w:kern w:val="0"/>
                <w:sz w:val="22"/>
                <w:szCs w:val="22"/>
                <w:u w:val="none"/>
                <w:lang w:val="en-US" w:eastAsia="zh-CN" w:bidi="ar"/>
              </w:rPr>
              <w:t>地方级</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eastAsia="宋体" w:cs="Times New Roman"/>
                <w:i w:val="0"/>
                <w:iCs w:val="0"/>
                <w:color w:val="000000"/>
                <w:kern w:val="0"/>
                <w:sz w:val="22"/>
                <w:szCs w:val="22"/>
                <w:u w:val="none"/>
                <w:lang w:val="en-US" w:eastAsia="zh-CN" w:bidi="ar"/>
              </w:rPr>
              <w:t>11794.44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森林公园</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仿宋_GB2312" w:hAnsi="Times New Roman" w:eastAsia="仿宋_GB2312" w:cs="仿宋_GB2312"/>
                <w:i w:val="0"/>
                <w:iCs w:val="0"/>
                <w:color w:val="000000"/>
                <w:kern w:val="0"/>
                <w:sz w:val="22"/>
                <w:szCs w:val="22"/>
                <w:u w:val="none"/>
                <w:lang w:val="en-US" w:eastAsia="zh-CN" w:bidi="ar"/>
              </w:rPr>
              <w:t>国家级</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eastAsia="宋体" w:cs="Times New Roman"/>
                <w:i w:val="0"/>
                <w:iCs w:val="0"/>
                <w:color w:val="000000"/>
                <w:kern w:val="0"/>
                <w:sz w:val="22"/>
                <w:szCs w:val="22"/>
                <w:u w:val="none"/>
                <w:lang w:val="en-US" w:eastAsia="zh-CN" w:bidi="ar"/>
              </w:rPr>
              <w:t>12934.51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2"/>
                <w:szCs w:val="22"/>
                <w:u w:val="none"/>
              </w:rPr>
            </w:pP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_GB2312" w:hAnsi="宋体" w:eastAsia="仿宋_GB2312" w:cs="仿宋_GB2312"/>
                <w:i w:val="0"/>
                <w:iCs w:val="0"/>
                <w:color w:val="000000"/>
                <w:sz w:val="22"/>
                <w:szCs w:val="22"/>
                <w:u w:val="none"/>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仿宋_GB2312" w:hAnsi="Times New Roman" w:eastAsia="仿宋_GB2312" w:cs="仿宋_GB2312"/>
                <w:i w:val="0"/>
                <w:iCs w:val="0"/>
                <w:color w:val="000000"/>
                <w:kern w:val="0"/>
                <w:sz w:val="22"/>
                <w:szCs w:val="22"/>
                <w:u w:val="none"/>
                <w:lang w:val="en-US" w:eastAsia="zh-CN" w:bidi="ar"/>
              </w:rPr>
              <w:t>地方级</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eastAsia="宋体" w:cs="Times New Roman"/>
                <w:i w:val="0"/>
                <w:iCs w:val="0"/>
                <w:color w:val="000000"/>
                <w:kern w:val="0"/>
                <w:sz w:val="22"/>
                <w:szCs w:val="22"/>
                <w:u w:val="none"/>
                <w:lang w:val="en-US" w:eastAsia="zh-CN" w:bidi="ar"/>
              </w:rPr>
              <w:t>11316.72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湿地公园</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仿宋_GB2312" w:hAnsi="Times New Roman" w:eastAsia="仿宋_GB2312" w:cs="仿宋_GB2312"/>
                <w:i w:val="0"/>
                <w:iCs w:val="0"/>
                <w:color w:val="000000"/>
                <w:kern w:val="0"/>
                <w:sz w:val="22"/>
                <w:szCs w:val="22"/>
                <w:u w:val="none"/>
                <w:lang w:val="en-US" w:eastAsia="zh-CN" w:bidi="ar"/>
              </w:rPr>
              <w:t>国家级</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2"/>
                <w:szCs w:val="22"/>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2"/>
                <w:szCs w:val="22"/>
                <w:u w:val="none"/>
              </w:rPr>
            </w:pP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_GB2312" w:hAnsi="宋体" w:eastAsia="仿宋_GB2312" w:cs="仿宋_GB2312"/>
                <w:i w:val="0"/>
                <w:iCs w:val="0"/>
                <w:color w:val="000000"/>
                <w:sz w:val="22"/>
                <w:szCs w:val="22"/>
                <w:u w:val="none"/>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仿宋_GB2312" w:hAnsi="Times New Roman" w:eastAsia="仿宋_GB2312" w:cs="仿宋_GB2312"/>
                <w:i w:val="0"/>
                <w:iCs w:val="0"/>
                <w:color w:val="000000"/>
                <w:kern w:val="0"/>
                <w:sz w:val="22"/>
                <w:szCs w:val="22"/>
                <w:u w:val="none"/>
                <w:lang w:val="en-US" w:eastAsia="zh-CN" w:bidi="ar"/>
              </w:rPr>
              <w:t>地方级</w:t>
            </w: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eastAsia="宋体" w:cs="Times New Roman"/>
                <w:i w:val="0"/>
                <w:iCs w:val="0"/>
                <w:color w:val="000000"/>
                <w:kern w:val="0"/>
                <w:sz w:val="22"/>
                <w:szCs w:val="22"/>
                <w:u w:val="none"/>
                <w:lang w:val="en-US" w:eastAsia="zh-CN" w:bidi="ar"/>
              </w:rPr>
              <w:t>477.72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196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合计</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2"/>
                <w:szCs w:val="22"/>
                <w:u w:val="none"/>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eastAsia="宋体" w:cs="Times New Roman"/>
                <w:i w:val="0"/>
                <w:iCs w:val="0"/>
                <w:color w:val="000000"/>
                <w:kern w:val="0"/>
                <w:sz w:val="22"/>
                <w:szCs w:val="22"/>
                <w:u w:val="none"/>
                <w:lang w:val="en-US" w:eastAsia="zh-CN" w:bidi="ar"/>
              </w:rPr>
              <w:t>48298.33</w:t>
            </w:r>
          </w:p>
        </w:tc>
      </w:tr>
    </w:tbl>
    <w:p>
      <w:pPr>
        <w:keepNext w:val="0"/>
        <w:keepLines w:val="0"/>
        <w:pageBreakBefore w:val="0"/>
        <w:widowControl/>
        <w:kinsoku/>
        <w:wordWrap/>
        <w:overflowPunct/>
        <w:topLinePunct w:val="0"/>
        <w:autoSpaceDE/>
        <w:autoSpaceDN/>
        <w:bidi w:val="0"/>
        <w:adjustRightInd w:val="0"/>
        <w:snapToGrid w:val="0"/>
        <w:spacing w:before="150" w:beforeLines="50" w:line="240" w:lineRule="auto"/>
        <w:ind w:firstLine="0" w:firstLineChars="0"/>
        <w:jc w:val="center"/>
        <w:textAlignment w:val="auto"/>
        <w:rPr>
          <w:rFonts w:hint="eastAsia" w:ascii="黑体" w:hAnsi="黑体" w:eastAsia="黑体" w:cs="黑体"/>
          <w:color w:val="000000" w:themeColor="text1"/>
          <w:sz w:val="28"/>
          <w:szCs w:val="28"/>
          <w14:textFill>
            <w14:solidFill>
              <w14:schemeClr w14:val="tx1"/>
            </w14:solidFill>
          </w14:textFill>
        </w:rPr>
      </w:pPr>
    </w:p>
    <w:p>
      <w:pPr>
        <w:adjustRightInd w:val="0"/>
        <w:snapToGrid w:val="0"/>
        <w:spacing w:line="400" w:lineRule="atLeast"/>
        <w:ind w:firstLine="600" w:firstLineChars="200"/>
        <w:jc w:val="center"/>
        <w:rPr>
          <w:rFonts w:hint="eastAsia" w:ascii="仿宋_GB2312" w:hAnsi="仿宋_GB2312" w:eastAsia="仿宋_GB2312" w:cs="仿宋_GB2312"/>
          <w:color w:val="000000" w:themeColor="text1"/>
          <w14:textFill>
            <w14:solidFill>
              <w14:schemeClr w14:val="tx1"/>
            </w14:solidFill>
          </w14:textFill>
        </w:rPr>
      </w:pPr>
    </w:p>
    <w:bookmarkEnd w:id="167"/>
    <w:p>
      <w:pPr>
        <w:pStyle w:val="4"/>
        <w:keepNext w:val="0"/>
        <w:keepLines w:val="0"/>
        <w:widowControl w:val="0"/>
        <w:adjustRightInd w:val="0"/>
        <w:snapToGrid w:val="0"/>
        <w:spacing w:before="0" w:after="0" w:line="578" w:lineRule="atLeast"/>
        <w:ind w:firstLine="643" w:firstLineChars="200"/>
        <w:jc w:val="both"/>
        <w:rPr>
          <w:rFonts w:hint="eastAsia" w:ascii="楷体" w:hAnsi="楷体" w:eastAsia="楷体" w:cs="楷体"/>
        </w:rPr>
      </w:pPr>
      <w:bookmarkStart w:id="168" w:name="_Toc25344"/>
      <w:bookmarkStart w:id="169" w:name="_Toc25071"/>
      <w:bookmarkStart w:id="170" w:name="_Toc20975"/>
      <w:bookmarkStart w:id="171" w:name="_Toc16514"/>
      <w:bookmarkStart w:id="172" w:name="_Toc118716382"/>
      <w:bookmarkStart w:id="173" w:name="_Hlk99792336"/>
      <w:r>
        <w:rPr>
          <w:rFonts w:hint="eastAsia" w:ascii="楷体" w:hAnsi="楷体" w:eastAsia="楷体" w:cs="楷体"/>
        </w:rPr>
        <w:t>（二）分区管控</w:t>
      </w:r>
      <w:bookmarkEnd w:id="168"/>
      <w:bookmarkEnd w:id="169"/>
      <w:bookmarkEnd w:id="170"/>
      <w:bookmarkEnd w:id="171"/>
      <w:bookmarkEnd w:id="172"/>
    </w:p>
    <w:p>
      <w:pPr>
        <w:bidi w:val="0"/>
        <w:rPr>
          <w:rFonts w:hint="eastAsia"/>
        </w:rPr>
      </w:pPr>
      <w:r>
        <w:rPr>
          <w:rFonts w:hint="eastAsia"/>
        </w:rPr>
        <w:t>对自然保护地进行合理分区，实行差别化管控。国家公园、自然保护区分别由核心保护区和一般控制区组成，自然公园属一般控制区。原则上，核心保护区内禁止人为活动，一般控制区内限制人为活动。</w:t>
      </w:r>
    </w:p>
    <w:p>
      <w:pPr>
        <w:bidi w:val="0"/>
        <w:rPr>
          <w:rFonts w:hint="default" w:eastAsia="仿宋_GB2312"/>
          <w:lang w:val="en-US" w:eastAsia="zh-CN"/>
        </w:rPr>
      </w:pPr>
      <w:r>
        <w:rPr>
          <w:rFonts w:hint="eastAsia"/>
          <w:lang w:val="en-US" w:eastAsia="zh-CN"/>
        </w:rPr>
        <w:t>揭阳市</w:t>
      </w:r>
      <w:r>
        <w:rPr>
          <w:rFonts w:hint="eastAsia"/>
        </w:rPr>
        <w:t>自然保护地核心保护区面积</w:t>
      </w:r>
      <w:r>
        <w:rPr>
          <w:rFonts w:hint="eastAsia"/>
          <w:lang w:val="en-US" w:eastAsia="zh-CN"/>
        </w:rPr>
        <w:t>12989.98</w:t>
      </w:r>
      <w:r>
        <w:rPr>
          <w:rFonts w:hint="eastAsia"/>
        </w:rPr>
        <w:t>公顷，一般控制区</w:t>
      </w:r>
      <w:r>
        <w:rPr>
          <w:rFonts w:hint="eastAsia"/>
          <w:lang w:val="en-US" w:eastAsia="zh-CN"/>
        </w:rPr>
        <w:t>35308.36</w:t>
      </w:r>
      <w:r>
        <w:rPr>
          <w:rFonts w:hint="eastAsia"/>
        </w:rPr>
        <w:t>公顷。其中：</w:t>
      </w:r>
    </w:p>
    <w:p>
      <w:pPr>
        <w:bidi w:val="0"/>
        <w:rPr>
          <w:rFonts w:hint="eastAsia"/>
        </w:rPr>
      </w:pPr>
      <w:r>
        <w:rPr>
          <w:rFonts w:hint="eastAsia"/>
        </w:rPr>
        <w:t>自然保护区核心保护区</w:t>
      </w:r>
      <w:r>
        <w:rPr>
          <w:rFonts w:hint="eastAsia"/>
          <w:lang w:val="en-US" w:eastAsia="zh-CN"/>
        </w:rPr>
        <w:t>12989.98</w:t>
      </w:r>
      <w:r>
        <w:rPr>
          <w:rFonts w:hint="eastAsia"/>
        </w:rPr>
        <w:t>公顷，占自然保护区总面积的</w:t>
      </w:r>
      <w:r>
        <w:rPr>
          <w:rFonts w:hint="eastAsia"/>
          <w:lang w:val="en-US" w:eastAsia="zh-CN"/>
        </w:rPr>
        <w:t>55.11</w:t>
      </w:r>
      <w:r>
        <w:rPr>
          <w:rFonts w:hint="eastAsia"/>
        </w:rPr>
        <w:t>%；一般控制区</w:t>
      </w:r>
      <w:r>
        <w:rPr>
          <w:rFonts w:hint="eastAsia"/>
          <w:lang w:val="en-US" w:eastAsia="zh-CN"/>
        </w:rPr>
        <w:t>10579.41</w:t>
      </w:r>
      <w:r>
        <w:rPr>
          <w:rFonts w:hint="eastAsia"/>
        </w:rPr>
        <w:t>公顷，占自然保护区总面积的</w:t>
      </w:r>
      <w:r>
        <w:rPr>
          <w:rFonts w:hint="eastAsia"/>
          <w:lang w:val="en-US" w:eastAsia="zh-CN"/>
        </w:rPr>
        <w:t>44.89</w:t>
      </w:r>
      <w:r>
        <w:rPr>
          <w:rFonts w:hint="eastAsia"/>
        </w:rPr>
        <w:t>%。</w:t>
      </w:r>
    </w:p>
    <w:p>
      <w:pPr>
        <w:bidi w:val="0"/>
      </w:pPr>
      <w:r>
        <w:rPr>
          <w:rFonts w:hint="eastAsia"/>
        </w:rPr>
        <w:t>自然公园按一般控制区管理，总面积</w:t>
      </w:r>
      <w:r>
        <w:rPr>
          <w:rFonts w:hint="eastAsia"/>
          <w:lang w:val="en-US" w:eastAsia="zh-CN"/>
        </w:rPr>
        <w:t>24728.95</w:t>
      </w:r>
      <w:r>
        <w:rPr>
          <w:rFonts w:hint="eastAsia"/>
        </w:rPr>
        <w:t>公顷。</w:t>
      </w:r>
    </w:p>
    <w:p>
      <w:pPr>
        <w:keepNext w:val="0"/>
        <w:keepLines w:val="0"/>
        <w:pageBreakBefore w:val="0"/>
        <w:widowControl/>
        <w:kinsoku/>
        <w:wordWrap/>
        <w:overflowPunct/>
        <w:topLinePunct w:val="0"/>
        <w:autoSpaceDE/>
        <w:autoSpaceDN/>
        <w:bidi w:val="0"/>
        <w:adjustRightInd w:val="0"/>
        <w:snapToGrid w:val="0"/>
        <w:spacing w:before="150" w:beforeLines="50" w:line="240" w:lineRule="auto"/>
        <w:ind w:firstLine="0" w:firstLineChars="0"/>
        <w:jc w:val="center"/>
        <w:textAlignment w:val="auto"/>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表4-</w:t>
      </w:r>
      <w:r>
        <w:rPr>
          <w:rFonts w:hint="eastAsia" w:ascii="黑体" w:hAnsi="黑体" w:eastAsia="黑体" w:cs="黑体"/>
          <w:color w:val="000000" w:themeColor="text1"/>
          <w:sz w:val="28"/>
          <w:szCs w:val="28"/>
          <w:lang w:val="en-US" w:eastAsia="zh-CN"/>
          <w14:textFill>
            <w14:solidFill>
              <w14:schemeClr w14:val="tx1"/>
            </w14:solidFill>
          </w14:textFill>
        </w:rPr>
        <w:t>2</w:t>
      </w:r>
      <w:r>
        <w:rPr>
          <w:rFonts w:hint="eastAsia" w:ascii="黑体" w:hAnsi="黑体" w:eastAsia="黑体" w:cs="黑体"/>
          <w:color w:val="000000" w:themeColor="text1"/>
          <w:sz w:val="28"/>
          <w:szCs w:val="28"/>
          <w14:textFill>
            <w14:solidFill>
              <w14:schemeClr w14:val="tx1"/>
            </w14:solidFill>
          </w14:textFill>
        </w:rPr>
        <w:t xml:space="preserve"> 自然保护地管控分区概况</w:t>
      </w:r>
    </w:p>
    <w:tbl>
      <w:tblPr>
        <w:tblStyle w:val="17"/>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7"/>
        <w:gridCol w:w="2069"/>
        <w:gridCol w:w="1715"/>
        <w:gridCol w:w="2067"/>
        <w:gridCol w:w="2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自然保护地</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总面积</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核心保护区</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一般控制区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自然保护区</w:t>
            </w:r>
          </w:p>
        </w:tc>
        <w:tc>
          <w:tcPr>
            <w:tcW w:w="958" w:type="pc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23569.39</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eastAsia" w:eastAsia="宋体" w:cs="Times New Roman"/>
                <w:i w:val="0"/>
                <w:iCs w:val="0"/>
                <w:color w:val="000000"/>
                <w:kern w:val="0"/>
                <w:sz w:val="24"/>
                <w:szCs w:val="24"/>
                <w:u w:val="none"/>
                <w:lang w:val="en-US" w:eastAsia="zh-CN" w:bidi="ar"/>
              </w:rPr>
              <w:t>12989.98</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eastAsia" w:eastAsia="宋体" w:cs="Times New Roman"/>
                <w:i w:val="0"/>
                <w:iCs w:val="0"/>
                <w:color w:val="000000"/>
                <w:kern w:val="0"/>
                <w:sz w:val="24"/>
                <w:szCs w:val="24"/>
                <w:u w:val="none"/>
                <w:lang w:val="en-US" w:eastAsia="zh-CN" w:bidi="ar"/>
              </w:rPr>
              <w:t>10579.41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自然公园</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eastAsia" w:eastAsia="宋体" w:cs="Times New Roman"/>
                <w:i w:val="0"/>
                <w:iCs w:val="0"/>
                <w:color w:val="000000"/>
                <w:kern w:val="0"/>
                <w:sz w:val="24"/>
                <w:szCs w:val="24"/>
                <w:u w:val="none"/>
                <w:lang w:val="en-US" w:eastAsia="zh-CN" w:bidi="ar"/>
              </w:rPr>
              <w:t>24728.95</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eastAsia" w:eastAsia="宋体" w:cs="Times New Roman"/>
                <w:i w:val="0"/>
                <w:iCs w:val="0"/>
                <w:color w:val="000000"/>
                <w:kern w:val="0"/>
                <w:sz w:val="24"/>
                <w:szCs w:val="24"/>
                <w:u w:val="none"/>
                <w:lang w:val="en-US" w:eastAsia="zh-CN" w:bidi="ar"/>
              </w:rPr>
              <w:t>24728.95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73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合计</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eastAsia" w:eastAsia="宋体" w:cs="Times New Roman"/>
                <w:i w:val="0"/>
                <w:iCs w:val="0"/>
                <w:color w:val="000000"/>
                <w:kern w:val="0"/>
                <w:sz w:val="22"/>
                <w:szCs w:val="22"/>
                <w:u w:val="none"/>
                <w:lang w:val="en-US" w:eastAsia="zh-CN" w:bidi="ar"/>
              </w:rPr>
              <w:t>48298.33</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12992.3</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35316.9</w:t>
            </w:r>
          </w:p>
        </w:tc>
      </w:tr>
    </w:tbl>
    <w:p>
      <w:pPr>
        <w:pStyle w:val="4"/>
        <w:keepNext w:val="0"/>
        <w:keepLines w:val="0"/>
        <w:widowControl w:val="0"/>
        <w:adjustRightInd w:val="0"/>
        <w:snapToGrid w:val="0"/>
        <w:spacing w:before="0" w:after="0" w:line="578" w:lineRule="exact"/>
        <w:ind w:firstLine="643" w:firstLineChars="200"/>
        <w:jc w:val="both"/>
        <w:rPr>
          <w:rFonts w:hint="eastAsia" w:ascii="仿宋_GB2312" w:hAnsi="仿宋_GB2312" w:eastAsia="仿宋_GB2312" w:cs="仿宋_GB2312"/>
        </w:rPr>
      </w:pPr>
      <w:bookmarkStart w:id="174" w:name="_Toc17457"/>
      <w:bookmarkStart w:id="175" w:name="_Toc6611"/>
      <w:bookmarkStart w:id="176" w:name="_Toc118716383"/>
      <w:bookmarkStart w:id="177" w:name="_Toc32011"/>
      <w:bookmarkStart w:id="178" w:name="_Toc19816"/>
      <w:r>
        <w:rPr>
          <w:rFonts w:hint="eastAsia" w:ascii="仿宋_GB2312" w:hAnsi="仿宋_GB2312" w:eastAsia="仿宋_GB2312" w:cs="仿宋_GB2312"/>
        </w:rPr>
        <w:t>（三）整合归并</w:t>
      </w:r>
      <w:bookmarkEnd w:id="174"/>
      <w:bookmarkEnd w:id="175"/>
      <w:bookmarkEnd w:id="176"/>
      <w:bookmarkEnd w:id="177"/>
      <w:bookmarkEnd w:id="178"/>
    </w:p>
    <w:p>
      <w:pPr>
        <w:bidi w:val="0"/>
        <w:rPr>
          <w:rFonts w:hint="eastAsia"/>
          <w:lang w:val="en-US" w:eastAsia="zh-CN"/>
        </w:rPr>
      </w:pPr>
      <w:r>
        <w:rPr>
          <w:rFonts w:hint="eastAsia"/>
          <w:lang w:val="en-US" w:eastAsia="zh-CN"/>
        </w:rPr>
        <w:t>揭阳市2个自然保护地被其他自然保护地整合归并，不再保留。自然保护地被整体并入其他自然保护地。</w:t>
      </w:r>
      <w:bookmarkEnd w:id="173"/>
      <w:bookmarkStart w:id="179" w:name="_Toc23255"/>
      <w:bookmarkStart w:id="180" w:name="_Toc3099"/>
      <w:bookmarkStart w:id="181" w:name="_Toc118716384"/>
    </w:p>
    <w:p>
      <w:pPr>
        <w:pStyle w:val="4"/>
        <w:keepNext w:val="0"/>
        <w:keepLines w:val="0"/>
        <w:widowControl w:val="0"/>
        <w:adjustRightInd w:val="0"/>
        <w:snapToGrid w:val="0"/>
        <w:spacing w:before="0" w:after="0" w:line="578" w:lineRule="exact"/>
        <w:ind w:left="0" w:leftChars="0" w:firstLine="723" w:firstLineChars="225"/>
        <w:jc w:val="both"/>
        <w:rPr>
          <w:rFonts w:hint="eastAsia" w:ascii="仿宋_GB2312" w:hAnsi="仿宋_GB2312" w:eastAsia="仿宋_GB2312" w:cs="仿宋_GB2312"/>
        </w:rPr>
      </w:pPr>
      <w:bookmarkStart w:id="182" w:name="_Toc25494"/>
      <w:bookmarkStart w:id="183" w:name="_Toc16583"/>
      <w:r>
        <w:rPr>
          <w:rFonts w:hint="eastAsia" w:ascii="仿宋_GB2312" w:hAnsi="仿宋_GB2312" w:eastAsia="仿宋_GB2312" w:cs="仿宋_GB2312"/>
        </w:rPr>
        <w:t>（四）撤销和降级</w:t>
      </w:r>
      <w:bookmarkEnd w:id="179"/>
      <w:bookmarkEnd w:id="180"/>
      <w:bookmarkEnd w:id="181"/>
      <w:bookmarkEnd w:id="182"/>
      <w:bookmarkEnd w:id="183"/>
    </w:p>
    <w:p>
      <w:pPr>
        <w:bidi w:val="0"/>
        <w:rPr>
          <w:rFonts w:hint="eastAsia"/>
          <w:lang w:val="en-US" w:eastAsia="zh-CN"/>
        </w:rPr>
      </w:pPr>
      <w:r>
        <w:rPr>
          <w:rFonts w:hint="eastAsia"/>
          <w:lang w:val="en-US" w:eastAsia="zh-CN"/>
        </w:rPr>
        <w:t>拟撤销自然保护地3个，面积535公顷，自然公园。</w:t>
      </w:r>
    </w:p>
    <w:p>
      <w:pPr>
        <w:pStyle w:val="2"/>
        <w:rPr>
          <w:rFonts w:hint="eastAsia"/>
          <w:lang w:val="en-US" w:eastAsia="zh-CN"/>
        </w:rPr>
      </w:pPr>
    </w:p>
    <w:p>
      <w:pPr>
        <w:pStyle w:val="2"/>
        <w:rPr>
          <w:rFonts w:hint="default"/>
          <w:lang w:val="en-US" w:eastAsia="zh-CN"/>
        </w:rPr>
      </w:pPr>
    </w:p>
    <w:p>
      <w:pPr>
        <w:pStyle w:val="4"/>
        <w:keepNext w:val="0"/>
        <w:keepLines w:val="0"/>
        <w:widowControl w:val="0"/>
        <w:adjustRightInd w:val="0"/>
        <w:snapToGrid w:val="0"/>
        <w:spacing w:before="0" w:after="0" w:line="578" w:lineRule="exact"/>
        <w:ind w:firstLine="643" w:firstLineChars="200"/>
        <w:jc w:val="both"/>
        <w:rPr>
          <w:rFonts w:hint="eastAsia" w:ascii="仿宋_GB2312" w:hAnsi="仿宋_GB2312" w:eastAsia="仿宋_GB2312" w:cs="仿宋_GB2312"/>
        </w:rPr>
      </w:pPr>
      <w:bookmarkStart w:id="184" w:name="_Toc14059"/>
      <w:bookmarkStart w:id="185" w:name="_Toc29695"/>
      <w:bookmarkStart w:id="186" w:name="_Toc118716385"/>
      <w:bookmarkStart w:id="187" w:name="_Toc19214"/>
      <w:bookmarkStart w:id="188" w:name="_Toc3356"/>
      <w:r>
        <w:rPr>
          <w:rFonts w:hint="eastAsia" w:ascii="仿宋_GB2312" w:hAnsi="仿宋_GB2312" w:eastAsia="仿宋_GB2312" w:cs="仿宋_GB2312"/>
        </w:rPr>
        <w:t>（五）调入和调出</w:t>
      </w:r>
      <w:bookmarkEnd w:id="184"/>
      <w:bookmarkEnd w:id="185"/>
      <w:bookmarkEnd w:id="186"/>
      <w:bookmarkEnd w:id="187"/>
      <w:bookmarkEnd w:id="188"/>
    </w:p>
    <w:p>
      <w:pPr>
        <w:adjustRightInd/>
        <w:snapToGrid/>
        <w:spacing w:before="0" w:after="0" w:line="578" w:lineRule="exact"/>
        <w:ind w:firstLine="643" w:firstLineChars="200"/>
        <w:jc w:val="both"/>
        <w:rPr>
          <w:rFonts w:hint="eastAsia" w:ascii="仿宋_GB2312" w:hAnsi="仿宋_GB2312" w:eastAsia="仿宋_GB2312" w:cs="仿宋_GB2312"/>
          <w:b/>
          <w:bCs/>
          <w:sz w:val="32"/>
          <w:szCs w:val="32"/>
        </w:rPr>
      </w:pPr>
      <w:bookmarkStart w:id="189" w:name="_Toc118716386"/>
      <w:r>
        <w:rPr>
          <w:rFonts w:hint="eastAsia" w:ascii="仿宋_GB2312" w:hAnsi="仿宋_GB2312" w:eastAsia="仿宋_GB2312" w:cs="仿宋_GB2312"/>
          <w:b/>
          <w:bCs/>
          <w:sz w:val="32"/>
          <w:szCs w:val="32"/>
        </w:rPr>
        <w:t>1. 调入生态空间</w:t>
      </w:r>
      <w:bookmarkEnd w:id="189"/>
    </w:p>
    <w:p>
      <w:pPr>
        <w:bidi w:val="0"/>
        <w:rPr>
          <w:rFonts w:hint="eastAsia"/>
        </w:rPr>
      </w:pPr>
      <w:r>
        <w:rPr>
          <w:rFonts w:hint="eastAsia"/>
          <w:lang w:val="en-US" w:eastAsia="zh-CN"/>
        </w:rPr>
        <w:t>揭阳市</w:t>
      </w:r>
      <w:r>
        <w:rPr>
          <w:rFonts w:hint="eastAsia"/>
        </w:rPr>
        <w:t>自然保护地共调入空间</w:t>
      </w:r>
      <w:r>
        <w:rPr>
          <w:rFonts w:hint="eastAsia"/>
          <w:lang w:eastAsia="zh-CN"/>
        </w:rPr>
        <w:t>14181.28</w:t>
      </w:r>
      <w:r>
        <w:rPr>
          <w:rFonts w:hint="eastAsia"/>
        </w:rPr>
        <w:t>公顷，</w:t>
      </w:r>
      <w:r>
        <w:rPr>
          <w:rFonts w:hint="eastAsia"/>
          <w:lang w:val="en-US" w:eastAsia="zh-CN"/>
        </w:rPr>
        <w:t>全为</w:t>
      </w:r>
      <w:r>
        <w:rPr>
          <w:rFonts w:hint="eastAsia"/>
        </w:rPr>
        <w:t>陆域。</w:t>
      </w:r>
    </w:p>
    <w:p>
      <w:pPr>
        <w:adjustRightInd/>
        <w:snapToGrid/>
        <w:spacing w:before="0" w:after="0" w:line="578" w:lineRule="exact"/>
        <w:ind w:firstLine="643" w:firstLineChars="200"/>
        <w:rPr>
          <w:rFonts w:hint="eastAsia" w:ascii="仿宋_GB2312" w:hAnsi="仿宋_GB2312" w:eastAsia="仿宋_GB2312" w:cs="仿宋_GB2312"/>
          <w:b/>
          <w:bCs/>
          <w:sz w:val="32"/>
          <w:szCs w:val="32"/>
        </w:rPr>
      </w:pPr>
      <w:bookmarkStart w:id="190" w:name="_Toc118716387"/>
      <w:r>
        <w:rPr>
          <w:rFonts w:hint="eastAsia" w:ascii="仿宋_GB2312" w:hAnsi="仿宋_GB2312" w:eastAsia="仿宋_GB2312" w:cs="仿宋_GB2312"/>
          <w:b/>
          <w:bCs/>
          <w:sz w:val="32"/>
          <w:szCs w:val="32"/>
        </w:rPr>
        <w:t xml:space="preserve">2. </w:t>
      </w:r>
      <w:bookmarkStart w:id="191" w:name="_Hlk99785235"/>
      <w:r>
        <w:rPr>
          <w:rFonts w:hint="eastAsia" w:ascii="仿宋_GB2312" w:hAnsi="仿宋_GB2312" w:eastAsia="仿宋_GB2312" w:cs="仿宋_GB2312"/>
          <w:b/>
          <w:bCs/>
          <w:sz w:val="32"/>
          <w:szCs w:val="32"/>
        </w:rPr>
        <w:t>调出矛盾冲突</w:t>
      </w:r>
      <w:bookmarkEnd w:id="190"/>
    </w:p>
    <w:p>
      <w:pPr>
        <w:bidi w:val="0"/>
        <w:rPr>
          <w:rFonts w:hint="eastAsia"/>
        </w:rPr>
      </w:pPr>
      <w:r>
        <w:rPr>
          <w:rFonts w:hint="eastAsia"/>
        </w:rPr>
        <w:t>整合优化拟从全国自然保护地调出空间8287.63公顷。主要包括耕地</w:t>
      </w:r>
      <w:r>
        <w:rPr>
          <w:rFonts w:hint="eastAsia"/>
          <w:lang w:eastAsia="zh-CN"/>
        </w:rPr>
        <w:t>、</w:t>
      </w:r>
      <w:r>
        <w:rPr>
          <w:rFonts w:hint="eastAsia"/>
        </w:rPr>
        <w:t>人工商品林、矿业权</w:t>
      </w:r>
      <w:r>
        <w:rPr>
          <w:rFonts w:hint="eastAsia"/>
          <w:lang w:eastAsia="zh-CN"/>
        </w:rPr>
        <w:t>、</w:t>
      </w:r>
      <w:r>
        <w:rPr>
          <w:rFonts w:hint="eastAsia"/>
        </w:rPr>
        <w:t>开发区</w:t>
      </w:r>
      <w:r>
        <w:rPr>
          <w:rFonts w:hint="eastAsia"/>
          <w:lang w:eastAsia="zh-CN"/>
        </w:rPr>
        <w:t>、</w:t>
      </w:r>
      <w:r>
        <w:rPr>
          <w:rFonts w:hint="eastAsia"/>
        </w:rPr>
        <w:t>城镇村</w:t>
      </w:r>
      <w:r>
        <w:rPr>
          <w:rFonts w:hint="eastAsia"/>
          <w:lang w:val="en-US" w:eastAsia="zh-CN"/>
        </w:rPr>
        <w:t>以及</w:t>
      </w:r>
      <w:r>
        <w:rPr>
          <w:rFonts w:hint="eastAsia"/>
        </w:rPr>
        <w:t>项目设施用地，调出各类矛盾冲突空间连带产生的破碎地块等。</w:t>
      </w:r>
    </w:p>
    <w:p>
      <w:pPr>
        <w:widowControl w:val="0"/>
        <w:adjustRightInd w:val="0"/>
        <w:snapToGrid w:val="0"/>
        <w:spacing w:line="578" w:lineRule="exact"/>
        <w:ind w:firstLine="640" w:firstLineChars="200"/>
        <w:jc w:val="both"/>
        <w:rPr>
          <w:rFonts w:ascii="方正仿宋_GBK" w:hAnsi="华文仿宋" w:eastAsia="方正仿宋_GBK" w:cs="仿宋_GB2312"/>
          <w:sz w:val="32"/>
          <w:szCs w:val="32"/>
        </w:rPr>
      </w:pPr>
    </w:p>
    <w:p>
      <w:pPr>
        <w:adjustRightInd w:val="0"/>
        <w:snapToGrid w:val="0"/>
        <w:spacing w:line="400" w:lineRule="exact"/>
        <w:jc w:val="center"/>
        <w:rPr>
          <w:rFonts w:ascii="方正小标宋_GBK" w:hAnsi="仿宋" w:eastAsia="方正小标宋_GBK" w:cs="Times New Roman"/>
          <w:color w:val="000000" w:themeColor="text1"/>
          <w14:textFill>
            <w14:solidFill>
              <w14:schemeClr w14:val="tx1"/>
            </w14:solidFill>
          </w14:textFill>
        </w:rPr>
      </w:pPr>
      <w:r>
        <w:rPr>
          <w:rFonts w:ascii="方正小标宋_GBK" w:hAnsi="仿宋" w:eastAsia="方正小标宋_GBK" w:cs="Times New Roman"/>
          <w:color w:val="000000" w:themeColor="text1"/>
          <w14:textFill>
            <w14:solidFill>
              <w14:schemeClr w14:val="tx1"/>
            </w14:solidFill>
          </w14:textFill>
        </w:rPr>
        <w:br w:type="page"/>
      </w:r>
    </w:p>
    <w:bookmarkEnd w:id="191"/>
    <w:p>
      <w:pPr>
        <w:pStyle w:val="3"/>
        <w:keepNext w:val="0"/>
        <w:keepLines w:val="0"/>
        <w:widowControl/>
        <w:adjustRightInd w:val="0"/>
        <w:snapToGrid w:val="0"/>
        <w:spacing w:before="0" w:beforeLines="-2147483648" w:after="0" w:afterLines="-2147483648" w:line="600" w:lineRule="atLeast"/>
        <w:ind w:firstLine="643" w:firstLineChars="200"/>
        <w:jc w:val="left"/>
        <w:rPr>
          <w:rFonts w:ascii="黑体" w:hAnsi="黑体" w:eastAsia="黑体"/>
          <w:sz w:val="32"/>
          <w:szCs w:val="32"/>
        </w:rPr>
      </w:pPr>
      <w:bookmarkStart w:id="192" w:name="_Toc22546"/>
      <w:bookmarkStart w:id="193" w:name="_Toc8700"/>
      <w:bookmarkStart w:id="194" w:name="_Toc29495"/>
      <w:bookmarkStart w:id="195" w:name="_Toc118716388"/>
      <w:bookmarkStart w:id="196" w:name="_Toc6748"/>
      <w:r>
        <w:rPr>
          <w:rFonts w:hint="eastAsia" w:ascii="黑体" w:hAnsi="黑体" w:eastAsia="黑体"/>
          <w:sz w:val="32"/>
          <w:szCs w:val="32"/>
        </w:rPr>
        <w:t>五、成效分析</w:t>
      </w:r>
      <w:bookmarkEnd w:id="192"/>
      <w:bookmarkEnd w:id="193"/>
      <w:bookmarkEnd w:id="194"/>
      <w:bookmarkEnd w:id="195"/>
      <w:bookmarkEnd w:id="196"/>
    </w:p>
    <w:p>
      <w:pPr>
        <w:bidi w:val="0"/>
        <w:rPr>
          <w:rFonts w:hint="eastAsia"/>
        </w:rPr>
      </w:pPr>
      <w:bookmarkStart w:id="197" w:name="_Toc118716389"/>
      <w:r>
        <w:rPr>
          <w:rFonts w:hint="eastAsia"/>
          <w:lang w:val="en-US" w:eastAsia="zh-CN"/>
        </w:rPr>
        <w:t>揭阳市</w:t>
      </w:r>
      <w:r>
        <w:rPr>
          <w:rFonts w:hint="eastAsia"/>
        </w:rPr>
        <w:t>自然保护地主要保护对象为森林生态系统、湿地生态系统及其相关的生物多样性，自然保护地整合优化后，</w:t>
      </w:r>
      <w:r>
        <w:rPr>
          <w:rFonts w:hint="eastAsia"/>
          <w:lang w:val="en-US" w:eastAsia="zh-CN"/>
        </w:rPr>
        <w:t>揭阳市</w:t>
      </w:r>
      <w:r>
        <w:rPr>
          <w:rFonts w:hint="eastAsia"/>
        </w:rPr>
        <w:t>自然保护地的布局更加合理，结构组成更加科学，物种保护更加全面，景观类型更加丰富，重要自然生态系统、自然景观、地质遗迹以及生物多样性富集区域得以保留，并将邻近自然保护地的生态区位重要区域并入自然保护地范围，这些调整有利于</w:t>
      </w:r>
      <w:r>
        <w:rPr>
          <w:rFonts w:hint="eastAsia"/>
          <w:lang w:val="en-US" w:eastAsia="zh-CN"/>
        </w:rPr>
        <w:t>保护揭阳市</w:t>
      </w:r>
      <w:r>
        <w:rPr>
          <w:rFonts w:hint="eastAsia"/>
        </w:rPr>
        <w:t>自然资源和生态空间。本次自然保护地整合优化，将产生巨大的生态、经济和社会效益。</w:t>
      </w:r>
    </w:p>
    <w:p>
      <w:pPr>
        <w:pStyle w:val="4"/>
        <w:keepNext w:val="0"/>
        <w:keepLines w:val="0"/>
        <w:widowControl w:val="0"/>
        <w:adjustRightInd w:val="0"/>
        <w:snapToGrid w:val="0"/>
        <w:spacing w:before="0" w:after="0" w:line="578" w:lineRule="atLeast"/>
        <w:ind w:firstLine="643" w:firstLineChars="200"/>
        <w:jc w:val="both"/>
        <w:rPr>
          <w:rFonts w:hint="eastAsia" w:ascii="楷体" w:hAnsi="楷体" w:eastAsia="楷体" w:cs="楷体"/>
        </w:rPr>
      </w:pPr>
      <w:bookmarkStart w:id="198" w:name="_Toc25204"/>
      <w:bookmarkStart w:id="199" w:name="_Toc30300"/>
      <w:bookmarkStart w:id="200" w:name="_Toc32113"/>
      <w:bookmarkStart w:id="201" w:name="_Toc31207"/>
      <w:r>
        <w:rPr>
          <w:rFonts w:hint="eastAsia" w:ascii="楷体" w:hAnsi="楷体" w:eastAsia="楷体" w:cs="楷体"/>
        </w:rPr>
        <w:t>（1）生态效益</w:t>
      </w:r>
      <w:bookmarkEnd w:id="198"/>
      <w:bookmarkEnd w:id="199"/>
      <w:bookmarkEnd w:id="200"/>
      <w:bookmarkEnd w:id="201"/>
    </w:p>
    <w:p>
      <w:pPr>
        <w:bidi w:val="0"/>
        <w:rPr>
          <w:rFonts w:hint="eastAsia"/>
        </w:rPr>
      </w:pPr>
      <w:r>
        <w:rPr>
          <w:rFonts w:hint="eastAsia"/>
        </w:rPr>
        <w:t>本次自然保护地优化整合，是在开展了保护空缺分析和价值评估的基础上进行的。对于保护空缺的选择采取了对重要区域地块的叠加，包括地貌、水系、重要生态功能区、珍稀濒危植物、珍稀濒危动物富集区、生态公益林以及红树林。其中红线评估重要生态功能区是水源涵养、生物多样性保护。</w:t>
      </w:r>
      <w:r>
        <w:rPr>
          <w:rFonts w:hint="eastAsia"/>
          <w:lang w:val="en-US" w:eastAsia="zh-CN"/>
        </w:rPr>
        <w:t>整合优化后，自然保护地实际占地面积较整合前有所增加，</w:t>
      </w:r>
      <w:r>
        <w:rPr>
          <w:rFonts w:hint="eastAsia"/>
        </w:rPr>
        <w:t>增加的这些重要保护区域的森林、湿地，增强了自然保护地在涵养水源与净化水质、保持水土效益、生态净化效益、固土保肥效益、保护生物多样性等方面的多种功能和效益，极大提高了全省自然保护地的生态价值。</w:t>
      </w:r>
    </w:p>
    <w:p>
      <w:pPr>
        <w:pStyle w:val="4"/>
        <w:keepNext w:val="0"/>
        <w:keepLines w:val="0"/>
        <w:pageBreakBefore w:val="0"/>
        <w:widowControl/>
        <w:kinsoku/>
        <w:wordWrap/>
        <w:overflowPunct/>
        <w:topLinePunct w:val="0"/>
        <w:autoSpaceDE/>
        <w:autoSpaceDN/>
        <w:bidi w:val="0"/>
        <w:adjustRightInd w:val="0"/>
        <w:snapToGrid w:val="0"/>
        <w:spacing w:before="0" w:after="0" w:line="578" w:lineRule="atLeast"/>
        <w:ind w:firstLine="643" w:firstLineChars="200"/>
        <w:jc w:val="both"/>
        <w:textAlignment w:val="auto"/>
        <w:rPr>
          <w:rFonts w:hint="eastAsia" w:ascii="楷体" w:hAnsi="楷体" w:eastAsia="楷体" w:cs="楷体"/>
        </w:rPr>
      </w:pPr>
      <w:bookmarkStart w:id="202" w:name="_Toc31730"/>
      <w:bookmarkStart w:id="203" w:name="_Toc27532"/>
      <w:bookmarkStart w:id="204" w:name="_Toc31112"/>
      <w:bookmarkStart w:id="205" w:name="_Toc17858"/>
      <w:r>
        <w:rPr>
          <w:rFonts w:hint="eastAsia" w:ascii="楷体" w:hAnsi="楷体" w:eastAsia="楷体" w:cs="楷体"/>
        </w:rPr>
        <w:t>（2）经济效益</w:t>
      </w:r>
      <w:bookmarkEnd w:id="202"/>
      <w:bookmarkEnd w:id="203"/>
      <w:bookmarkEnd w:id="204"/>
      <w:bookmarkEnd w:id="205"/>
    </w:p>
    <w:p>
      <w:pPr>
        <w:bidi w:val="0"/>
        <w:rPr>
          <w:rFonts w:hint="eastAsia"/>
        </w:rPr>
      </w:pPr>
      <w:r>
        <w:rPr>
          <w:rFonts w:hint="eastAsia"/>
        </w:rPr>
        <w:t>本次自然保护地整合优化与广东省国土空间规划、生态保护红线、永久基本农田、城镇开发边界等，进行了充分衔接，经过科学评价，将不具有保护价值的区域调出自然保护地范围，有效解决了国家和省级等重点工程建设涉及的自然保护地用地问题，对</w:t>
      </w:r>
      <w:r>
        <w:rPr>
          <w:rFonts w:hint="eastAsia"/>
          <w:lang w:val="en-US" w:eastAsia="zh-CN"/>
        </w:rPr>
        <w:t>揭阳市</w:t>
      </w:r>
      <w:r>
        <w:rPr>
          <w:rFonts w:hint="eastAsia"/>
        </w:rPr>
        <w:t>经济社会发展具有一定促进作用。根据测算，</w:t>
      </w:r>
      <w:r>
        <w:rPr>
          <w:rFonts w:hint="eastAsia"/>
          <w:lang w:val="en-US" w:eastAsia="zh-CN"/>
        </w:rPr>
        <w:t>揭阳市</w:t>
      </w:r>
      <w:r>
        <w:rPr>
          <w:rFonts w:hint="eastAsia"/>
        </w:rPr>
        <w:t xml:space="preserve">本次自然保护地整合优化调出主要为永久基本农田、村庄建设用地、人工集体商品林和开发区。调整的具体数据见自然保护地和自然公园调整表格。此次自然保护地整合优化大幅解决了存在的历史遗留问题，并为当地经济社会发展提供了良好条件。在保护生态环境的同时，充分兼顾地方经济发展的需求，理顺保护与发展的矛盾，尽可能做到保护与发展并重。 </w:t>
      </w:r>
    </w:p>
    <w:p>
      <w:pPr>
        <w:pStyle w:val="4"/>
        <w:keepNext w:val="0"/>
        <w:keepLines w:val="0"/>
        <w:widowControl w:val="0"/>
        <w:adjustRightInd w:val="0"/>
        <w:snapToGrid w:val="0"/>
        <w:spacing w:before="0" w:after="0" w:line="578" w:lineRule="atLeast"/>
        <w:ind w:firstLine="643" w:firstLineChars="200"/>
        <w:jc w:val="both"/>
        <w:rPr>
          <w:rFonts w:hint="eastAsia" w:ascii="楷体" w:hAnsi="楷体" w:eastAsia="楷体" w:cs="楷体"/>
        </w:rPr>
      </w:pPr>
      <w:bookmarkStart w:id="206" w:name="_Toc30101"/>
      <w:bookmarkStart w:id="207" w:name="_Toc24248"/>
      <w:bookmarkStart w:id="208" w:name="_Toc23852"/>
      <w:bookmarkStart w:id="209" w:name="_Toc8689"/>
      <w:r>
        <w:rPr>
          <w:rFonts w:hint="eastAsia" w:ascii="楷体" w:hAnsi="楷体" w:eastAsia="楷体" w:cs="楷体"/>
        </w:rPr>
        <w:t>（3）社会效益</w:t>
      </w:r>
      <w:bookmarkEnd w:id="206"/>
      <w:bookmarkEnd w:id="207"/>
      <w:bookmarkEnd w:id="208"/>
      <w:bookmarkEnd w:id="209"/>
    </w:p>
    <w:p>
      <w:pPr>
        <w:bidi w:val="0"/>
      </w:pPr>
      <w:bookmarkStart w:id="210" w:name="_Toc4788"/>
      <w:r>
        <w:rPr>
          <w:rFonts w:hint="eastAsia"/>
        </w:rPr>
        <w:t>通过自然保护地整合优化，将不符合自然保护地要求的永久基本农田、城镇建成区、有采矿权的矿区等调出自然保护地，对自然保护地范围内争议较大的人工集体商品林和影响较大的村庄进行了评估确定退出或调出，在保证保护面积不减少，保护强度不降低和保护性质不改变的前提下，通过空缺分析和资源价值评估，将有保护价值的区域划入保护地范围。调入区域多为重要的生态屏障和重要生态系统集中分布区，这些区域也是珍稀濒危野生动植物的主要分布地和栖息地。调入区域包括生态公益林、生态红线内区域、以及重要流域的河流湿地和滨海湿地。这些区域大多生态条件好，具有比较高的保护价值。这种调整既解决了历史遗留的矛盾冲突，又有效提高了</w:t>
      </w:r>
      <w:r>
        <w:rPr>
          <w:rFonts w:hint="eastAsia"/>
          <w:lang w:val="en-US" w:eastAsia="zh-CN"/>
        </w:rPr>
        <w:t>揭阳市</w:t>
      </w:r>
      <w:r>
        <w:rPr>
          <w:rFonts w:hint="eastAsia"/>
        </w:rPr>
        <w:t>自然保护地的质量和价值。有效协调了城镇建设发展与生态保护的矛盾，有效解决了村民生产生活与生态保护之间的矛盾，对于促进</w:t>
      </w:r>
      <w:r>
        <w:rPr>
          <w:rFonts w:hint="eastAsia"/>
          <w:lang w:val="en-US" w:eastAsia="zh-CN"/>
        </w:rPr>
        <w:t>揭阳市</w:t>
      </w:r>
      <w:r>
        <w:rPr>
          <w:rFonts w:hint="eastAsia"/>
        </w:rPr>
        <w:t>社会稳定具有重要作用，同时对于自然资源的保护、生态环境质量的提升、生态环境的改善具有积极作用。</w:t>
      </w:r>
      <w:bookmarkStart w:id="211" w:name="_bookmark23"/>
      <w:bookmarkEnd w:id="211"/>
      <w:bookmarkStart w:id="212" w:name="5.3 社会效益"/>
      <w:bookmarkEnd w:id="212"/>
      <w:bookmarkStart w:id="213" w:name="5.1.1 森林生态系统"/>
      <w:bookmarkEnd w:id="213"/>
      <w:bookmarkStart w:id="214" w:name="5.2 经济效益"/>
      <w:bookmarkEnd w:id="214"/>
      <w:bookmarkStart w:id="215" w:name="_bookmark22"/>
      <w:bookmarkEnd w:id="215"/>
      <w:r>
        <w:rPr>
          <w:rFonts w:hint="eastAsia"/>
        </w:rPr>
        <w:t>整合优化后，</w:t>
      </w:r>
      <w:r>
        <w:rPr>
          <w:rFonts w:hint="eastAsia"/>
          <w:lang w:val="en-US" w:eastAsia="zh-CN"/>
        </w:rPr>
        <w:t>揭阳市</w:t>
      </w:r>
      <w:r>
        <w:rPr>
          <w:rFonts w:hint="eastAsia"/>
        </w:rPr>
        <w:t>自然保护地不仅可以为公众提供亲近自然的环境、为公众保留自然美学价值，还可以作为科普教育的建设重点，展示自然生态系统的独特性，成为公众了解自然、认识自然、保护自然的平台，丰富公众的自然知识，提高公众对自然生态系统重要性的认知。整合优化后，</w:t>
      </w:r>
      <w:r>
        <w:rPr>
          <w:rFonts w:hint="eastAsia"/>
          <w:lang w:val="en-US" w:eastAsia="zh-CN"/>
        </w:rPr>
        <w:t>揭阳市</w:t>
      </w:r>
      <w:r>
        <w:rPr>
          <w:rFonts w:hint="eastAsia"/>
        </w:rPr>
        <w:t>自然环境质量将得到进一步保障与提升，对提高当地居民生活生产的环境质量起到关键性的作用，良好的生态环境，对保护生物多样性、促进和谐社会、实现生态文明的发展也将起到推动作用。</w:t>
      </w:r>
      <w:bookmarkEnd w:id="197"/>
      <w:bookmarkEnd w:id="210"/>
      <w:bookmarkStart w:id="216" w:name="_Toc118716391"/>
    </w:p>
    <w:p>
      <w:pPr>
        <w:widowControl w:val="0"/>
        <w:adjustRightInd w:val="0"/>
        <w:snapToGrid w:val="0"/>
        <w:spacing w:line="600" w:lineRule="atLeast"/>
        <w:ind w:firstLine="640" w:firstLineChars="200"/>
        <w:jc w:val="both"/>
        <w:rPr>
          <w:rFonts w:ascii="方正仿宋_GBK" w:hAnsi="华文仿宋" w:eastAsia="方正仿宋_GBK" w:cs="仿宋_GB2312"/>
          <w:sz w:val="32"/>
          <w:szCs w:val="32"/>
        </w:rPr>
      </w:pPr>
    </w:p>
    <w:p>
      <w:pPr>
        <w:pStyle w:val="2"/>
        <w:sectPr>
          <w:footerReference r:id="rId10" w:type="default"/>
          <w:pgSz w:w="11910" w:h="16840"/>
          <w:pgMar w:top="2098" w:right="1588" w:bottom="1985" w:left="1588" w:header="0" w:footer="1417" w:gutter="0"/>
          <w:pgNumType w:fmt="decimal" w:start="1"/>
          <w:cols w:space="425" w:num="1"/>
          <w:docGrid w:linePitch="299" w:charSpace="0"/>
        </w:sectPr>
      </w:pPr>
    </w:p>
    <w:bookmarkEnd w:id="216"/>
    <w:p>
      <w:pPr>
        <w:widowControl/>
        <w:ind w:firstLine="0" w:firstLineChars="0"/>
        <w:jc w:val="left"/>
        <w:textAlignment w:val="center"/>
        <w:rPr>
          <w:rFonts w:ascii="Times New Roman" w:hAnsi="Times New Roman" w:eastAsia="方正小标宋_GBK" w:cstheme="minorBidi"/>
          <w:kern w:val="0"/>
          <w:szCs w:val="30"/>
          <w:lang w:bidi="ar"/>
        </w:rPr>
      </w:pPr>
      <w:r>
        <w:rPr>
          <w:rFonts w:ascii="Times New Roman" w:hAnsi="Times New Roman" w:eastAsia="黑体" w:cstheme="minorBidi"/>
          <w:kern w:val="0"/>
          <w:sz w:val="28"/>
          <w:szCs w:val="28"/>
          <w:lang w:bidi="ar"/>
        </w:rPr>
        <w:t>附表1</w:t>
      </w:r>
    </w:p>
    <w:p>
      <w:pPr>
        <w:widowControl w:val="0"/>
        <w:autoSpaceDE w:val="0"/>
        <w:autoSpaceDN w:val="0"/>
        <w:spacing w:line="560" w:lineRule="exact"/>
        <w:ind w:firstLine="0" w:firstLineChars="0"/>
        <w:jc w:val="center"/>
        <w:rPr>
          <w:rFonts w:ascii="Times New Roman" w:hAnsi="Times New Roman" w:eastAsia="方正小标宋简体" w:cs="Times New Roman"/>
          <w:kern w:val="0"/>
          <w:sz w:val="30"/>
          <w:szCs w:val="30"/>
          <w:lang w:val="en-US" w:eastAsia="zh-CN" w:bidi="ar"/>
        </w:rPr>
      </w:pPr>
      <w:r>
        <w:rPr>
          <w:rFonts w:ascii="Times New Roman" w:hAnsi="Times New Roman" w:eastAsia="方正小标宋简体" w:cs="Times New Roman"/>
          <w:kern w:val="0"/>
          <w:sz w:val="30"/>
          <w:szCs w:val="30"/>
          <w:lang w:val="en-US" w:eastAsia="zh-CN" w:bidi="ar"/>
        </w:rPr>
        <w:t>揭阳市自然保护地整合优化</w:t>
      </w:r>
      <w:r>
        <w:rPr>
          <w:rFonts w:hint="eastAsia" w:ascii="Times New Roman" w:hAnsi="Times New Roman" w:eastAsia="方正小标宋简体" w:cs="Times New Roman"/>
          <w:kern w:val="0"/>
          <w:sz w:val="30"/>
          <w:szCs w:val="30"/>
          <w:lang w:val="en-US" w:eastAsia="zh-CN" w:bidi="ar"/>
        </w:rPr>
        <w:t>方案</w:t>
      </w:r>
      <w:r>
        <w:rPr>
          <w:rFonts w:ascii="Times New Roman" w:hAnsi="Times New Roman" w:eastAsia="方正小标宋简体" w:cs="Times New Roman"/>
          <w:kern w:val="0"/>
          <w:sz w:val="30"/>
          <w:szCs w:val="30"/>
          <w:lang w:val="en-US" w:eastAsia="zh-CN" w:bidi="ar"/>
        </w:rPr>
        <w:t>一览表</w:t>
      </w:r>
    </w:p>
    <w:tbl>
      <w:tblPr>
        <w:tblStyle w:val="17"/>
        <w:tblW w:w="20833" w:type="dxa"/>
        <w:jc w:val="center"/>
        <w:tblLayout w:type="autofit"/>
        <w:tblCellMar>
          <w:top w:w="0" w:type="dxa"/>
          <w:left w:w="108" w:type="dxa"/>
          <w:bottom w:w="0" w:type="dxa"/>
          <w:right w:w="108" w:type="dxa"/>
        </w:tblCellMar>
      </w:tblPr>
      <w:tblGrid>
        <w:gridCol w:w="427"/>
        <w:gridCol w:w="4938"/>
        <w:gridCol w:w="1273"/>
        <w:gridCol w:w="990"/>
        <w:gridCol w:w="1134"/>
        <w:gridCol w:w="427"/>
        <w:gridCol w:w="4522"/>
        <w:gridCol w:w="1273"/>
        <w:gridCol w:w="990"/>
        <w:gridCol w:w="992"/>
        <w:gridCol w:w="899"/>
        <w:gridCol w:w="1050"/>
        <w:gridCol w:w="1918"/>
      </w:tblGrid>
      <w:tr>
        <w:tblPrEx>
          <w:tblCellMar>
            <w:top w:w="0" w:type="dxa"/>
            <w:left w:w="108" w:type="dxa"/>
            <w:bottom w:w="0" w:type="dxa"/>
            <w:right w:w="108" w:type="dxa"/>
          </w:tblCellMar>
        </w:tblPrEx>
        <w:trPr>
          <w:trHeight w:val="285" w:hRule="atLeast"/>
          <w:jc w:val="center"/>
        </w:trPr>
        <w:tc>
          <w:tcPr>
            <w:tcW w:w="876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4"/>
                <w:szCs w:val="24"/>
              </w:rPr>
            </w:pPr>
            <w:r>
              <w:rPr>
                <w:rFonts w:hint="default" w:ascii="Times New Roman" w:hAnsi="Times New Roman" w:cs="Times New Roman"/>
                <w:b/>
                <w:bCs/>
                <w:color w:val="000000"/>
                <w:kern w:val="0"/>
                <w:sz w:val="24"/>
                <w:szCs w:val="24"/>
              </w:rPr>
              <w:t>整合优化前</w:t>
            </w:r>
          </w:p>
        </w:tc>
        <w:tc>
          <w:tcPr>
            <w:tcW w:w="10153"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4"/>
                <w:szCs w:val="24"/>
              </w:rPr>
            </w:pPr>
            <w:r>
              <w:rPr>
                <w:rFonts w:hint="default" w:ascii="Times New Roman" w:hAnsi="Times New Roman" w:cs="Times New Roman"/>
                <w:b/>
                <w:bCs/>
                <w:color w:val="000000"/>
                <w:kern w:val="0"/>
                <w:sz w:val="24"/>
                <w:szCs w:val="24"/>
              </w:rPr>
              <w:t>整合优化后</w:t>
            </w:r>
          </w:p>
        </w:tc>
        <w:tc>
          <w:tcPr>
            <w:tcW w:w="19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处理方式（不变、优化、合并、转化-升、转化-降、拟撤销、拟新建）</w:t>
            </w:r>
          </w:p>
        </w:tc>
      </w:tr>
      <w:tr>
        <w:tblPrEx>
          <w:tblCellMar>
            <w:top w:w="0" w:type="dxa"/>
            <w:left w:w="108" w:type="dxa"/>
            <w:bottom w:w="0" w:type="dxa"/>
            <w:right w:w="108" w:type="dxa"/>
          </w:tblCellMar>
        </w:tblPrEx>
        <w:trPr>
          <w:trHeight w:val="510" w:hRule="atLeast"/>
          <w:jc w:val="center"/>
        </w:trPr>
        <w:tc>
          <w:tcPr>
            <w:tcW w:w="42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序号</w:t>
            </w:r>
          </w:p>
        </w:tc>
        <w:tc>
          <w:tcPr>
            <w:tcW w:w="8335"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整合优化前自然保护地23个，批复面积46493.59公顷</w:t>
            </w:r>
          </w:p>
        </w:tc>
        <w:tc>
          <w:tcPr>
            <w:tcW w:w="42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序号</w:t>
            </w:r>
          </w:p>
        </w:tc>
        <w:tc>
          <w:tcPr>
            <w:tcW w:w="972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整合优化后自然保护地19个，矢量面积</w:t>
            </w:r>
            <w:r>
              <w:rPr>
                <w:rFonts w:hint="eastAsia" w:cs="Times New Roman"/>
                <w:b/>
                <w:bCs/>
                <w:color w:val="000000"/>
                <w:kern w:val="0"/>
                <w:sz w:val="21"/>
                <w:szCs w:val="21"/>
                <w:lang w:val="en-US" w:eastAsia="zh-CN"/>
              </w:rPr>
              <w:t>48298.33</w:t>
            </w:r>
            <w:r>
              <w:rPr>
                <w:rFonts w:hint="default" w:ascii="Times New Roman" w:hAnsi="Times New Roman" w:cs="Times New Roman"/>
                <w:b/>
                <w:bCs/>
                <w:color w:val="000000"/>
                <w:kern w:val="0"/>
                <w:sz w:val="21"/>
                <w:szCs w:val="21"/>
              </w:rPr>
              <w:t>公顷</w:t>
            </w:r>
          </w:p>
        </w:tc>
        <w:tc>
          <w:tcPr>
            <w:tcW w:w="19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b/>
                <w:bCs/>
                <w:color w:val="000000"/>
                <w:kern w:val="0"/>
                <w:sz w:val="21"/>
                <w:szCs w:val="21"/>
              </w:rPr>
            </w:pPr>
          </w:p>
        </w:tc>
      </w:tr>
      <w:tr>
        <w:tblPrEx>
          <w:tblCellMar>
            <w:top w:w="0" w:type="dxa"/>
            <w:left w:w="108" w:type="dxa"/>
            <w:bottom w:w="0" w:type="dxa"/>
            <w:right w:w="108" w:type="dxa"/>
          </w:tblCellMar>
        </w:tblPrEx>
        <w:trPr>
          <w:trHeight w:val="510"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b/>
                <w:bCs/>
                <w:color w:val="000000"/>
                <w:kern w:val="0"/>
                <w:sz w:val="21"/>
                <w:szCs w:val="21"/>
              </w:rPr>
            </w:pP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自然保护地现状名称</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保护地类型</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保护地等级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批复面积</w:t>
            </w:r>
          </w:p>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（公顷）</w:t>
            </w:r>
          </w:p>
        </w:tc>
        <w:tc>
          <w:tcPr>
            <w:tcW w:w="42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b/>
                <w:bCs/>
                <w:color w:val="000000"/>
                <w:kern w:val="0"/>
                <w:sz w:val="21"/>
                <w:szCs w:val="21"/>
              </w:rPr>
            </w:pP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自然保护地整合优化后名称</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保护地类型</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保护地等级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矢量面积</w:t>
            </w:r>
            <w:r>
              <w:rPr>
                <w:rFonts w:hint="default" w:ascii="Times New Roman" w:hAnsi="Times New Roman" w:cs="Times New Roman"/>
                <w:b/>
                <w:bCs/>
                <w:color w:val="000000"/>
                <w:kern w:val="0"/>
                <w:sz w:val="21"/>
                <w:szCs w:val="21"/>
              </w:rPr>
              <w:br w:type="textWrapping"/>
            </w:r>
            <w:r>
              <w:rPr>
                <w:rFonts w:hint="default" w:ascii="Times New Roman" w:hAnsi="Times New Roman" w:cs="Times New Roman"/>
                <w:b/>
                <w:bCs/>
                <w:color w:val="000000"/>
                <w:kern w:val="0"/>
                <w:sz w:val="21"/>
                <w:szCs w:val="21"/>
              </w:rPr>
              <w:t>（公顷）</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建议管理主体</w:t>
            </w:r>
          </w:p>
        </w:tc>
        <w:tc>
          <w:tcPr>
            <w:tcW w:w="19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b/>
                <w:bCs/>
                <w:color w:val="000000"/>
                <w:kern w:val="0"/>
                <w:sz w:val="21"/>
                <w:szCs w:val="21"/>
              </w:rPr>
            </w:pP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广东大北山国家森林公园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国家级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3067.2</w:t>
            </w:r>
          </w:p>
        </w:tc>
        <w:tc>
          <w:tcPr>
            <w:tcW w:w="42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w:t>
            </w:r>
          </w:p>
        </w:tc>
        <w:tc>
          <w:tcPr>
            <w:tcW w:w="452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广东大北山国家森林公园</w:t>
            </w:r>
          </w:p>
        </w:tc>
        <w:tc>
          <w:tcPr>
            <w:tcW w:w="127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国家级</w:t>
            </w:r>
          </w:p>
        </w:tc>
        <w:tc>
          <w:tcPr>
            <w:tcW w:w="189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等线" w:cs="Times New Roman"/>
                <w:color w:val="000000"/>
                <w:kern w:val="0"/>
                <w:sz w:val="21"/>
                <w:szCs w:val="21"/>
                <w:lang w:eastAsia="zh-CN"/>
              </w:rPr>
            </w:pPr>
            <w:r>
              <w:rPr>
                <w:rFonts w:hint="eastAsia" w:eastAsia="等线" w:cs="Times New Roman"/>
                <w:color w:val="000000"/>
                <w:kern w:val="0"/>
                <w:sz w:val="21"/>
                <w:szCs w:val="21"/>
                <w:lang w:eastAsia="zh-CN"/>
              </w:rPr>
              <w:t>12934.51</w:t>
            </w:r>
          </w:p>
        </w:tc>
        <w:tc>
          <w:tcPr>
            <w:tcW w:w="105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合并</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揭阳黄满寨省级地质公园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地质公园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省级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2940</w:t>
            </w:r>
          </w:p>
        </w:tc>
        <w:tc>
          <w:tcPr>
            <w:tcW w:w="42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452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27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99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89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105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91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3</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揭阳揭西李望嶂市级自然保护区</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7056.2</w:t>
            </w:r>
          </w:p>
        </w:tc>
        <w:tc>
          <w:tcPr>
            <w:tcW w:w="42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w:t>
            </w:r>
          </w:p>
        </w:tc>
        <w:tc>
          <w:tcPr>
            <w:tcW w:w="452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揭阳揭西李望嶂地方级自然保护区</w:t>
            </w:r>
          </w:p>
        </w:tc>
        <w:tc>
          <w:tcPr>
            <w:tcW w:w="127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市级</w:t>
            </w:r>
          </w:p>
        </w:tc>
        <w:tc>
          <w:tcPr>
            <w:tcW w:w="189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4795.78</w:t>
            </w:r>
          </w:p>
        </w:tc>
        <w:tc>
          <w:tcPr>
            <w:tcW w:w="105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合并</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4</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揭阳揭西良田蝾螈县级自然保护区</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4299</w:t>
            </w:r>
          </w:p>
        </w:tc>
        <w:tc>
          <w:tcPr>
            <w:tcW w:w="42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452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27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99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89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105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91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5</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揭阳揭西广德庵县级森林公园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254.1</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3</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揭阳揭西广德庵地方级森林自然公园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160.49</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6</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揭阳揭西横江水库县级湿地公园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湿地公园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470</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4</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揭阳揭西横江水库地方级湿地自然公园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湿地公园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345.78</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7</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揭阳揭西石灵寺县级森林公园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170.8</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5</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揭阳揭西石灵寺地方级森林自然公园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132.35</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blPrEx>
          <w:tblCellMar>
            <w:top w:w="0" w:type="dxa"/>
            <w:left w:w="108" w:type="dxa"/>
            <w:bottom w:w="0" w:type="dxa"/>
            <w:right w:w="108" w:type="dxa"/>
          </w:tblCellMar>
        </w:tblPrEx>
        <w:trPr>
          <w:trHeight w:val="285" w:hRule="atLeast"/>
          <w:jc w:val="center"/>
        </w:trPr>
        <w:tc>
          <w:tcPr>
            <w:tcW w:w="42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8</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揭阳桑浦山—双坑省级自然保护区（桑浦山片区）</w:t>
            </w:r>
          </w:p>
        </w:tc>
        <w:tc>
          <w:tcPr>
            <w:tcW w:w="127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省级</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6713.22</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6</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揭阳桑浦山地方级自然保护区</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省级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3890.84</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省管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rPr>
          <w:trHeight w:val="28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揭阳桑浦山—双坑省级自然保护区（双坑片区）</w:t>
            </w:r>
          </w:p>
        </w:tc>
        <w:tc>
          <w:tcPr>
            <w:tcW w:w="127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99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13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42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7</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揭阳小北山地方级自然保护区（双坑片区）</w:t>
            </w:r>
          </w:p>
        </w:tc>
        <w:tc>
          <w:tcPr>
            <w:tcW w:w="127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省级</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lang w:val="en-US" w:eastAsia="zh-CN"/>
              </w:rPr>
            </w:pPr>
            <w:r>
              <w:rPr>
                <w:rFonts w:hint="default" w:ascii="Times New Roman" w:hAnsi="Times New Roman" w:eastAsia="等线" w:cs="Times New Roman"/>
                <w:color w:val="000000"/>
                <w:kern w:val="0"/>
                <w:sz w:val="21"/>
                <w:szCs w:val="21"/>
              </w:rPr>
              <w:t>4171.</w:t>
            </w:r>
            <w:r>
              <w:rPr>
                <w:rFonts w:hint="eastAsia" w:eastAsia="等线" w:cs="Times New Roman"/>
                <w:color w:val="000000"/>
                <w:kern w:val="0"/>
                <w:sz w:val="21"/>
                <w:szCs w:val="21"/>
                <w:lang w:val="en-US" w:eastAsia="zh-CN"/>
              </w:rPr>
              <w:t>29</w:t>
            </w:r>
          </w:p>
        </w:tc>
        <w:tc>
          <w:tcPr>
            <w:tcW w:w="89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6273.27</w:t>
            </w:r>
          </w:p>
        </w:tc>
        <w:tc>
          <w:tcPr>
            <w:tcW w:w="105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省管</w:t>
            </w:r>
          </w:p>
        </w:tc>
        <w:tc>
          <w:tcPr>
            <w:tcW w:w="19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合并、优化</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9</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揭阳揭东小北山县级森林公园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167</w:t>
            </w:r>
          </w:p>
        </w:tc>
        <w:tc>
          <w:tcPr>
            <w:tcW w:w="42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452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揭阳小北山地方级自然保护区（新西河片区）</w:t>
            </w:r>
          </w:p>
        </w:tc>
        <w:tc>
          <w:tcPr>
            <w:tcW w:w="127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99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lang w:val="en-US" w:eastAsia="zh-CN"/>
              </w:rPr>
            </w:pPr>
            <w:r>
              <w:rPr>
                <w:rFonts w:hint="default" w:ascii="Times New Roman" w:hAnsi="Times New Roman" w:eastAsia="等线" w:cs="Times New Roman"/>
                <w:color w:val="000000"/>
                <w:kern w:val="0"/>
                <w:sz w:val="21"/>
                <w:szCs w:val="21"/>
              </w:rPr>
              <w:t>210</w:t>
            </w:r>
            <w:r>
              <w:rPr>
                <w:rFonts w:hint="eastAsia" w:eastAsia="等线" w:cs="Times New Roman"/>
                <w:color w:val="000000"/>
                <w:kern w:val="0"/>
                <w:sz w:val="21"/>
                <w:szCs w:val="21"/>
                <w:lang w:val="en-US" w:eastAsia="zh-CN"/>
              </w:rPr>
              <w:t>1.98</w:t>
            </w:r>
          </w:p>
        </w:tc>
        <w:tc>
          <w:tcPr>
            <w:tcW w:w="89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105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91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10</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揭阳揭东新西河县级自然保护区</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2500</w:t>
            </w:r>
          </w:p>
        </w:tc>
        <w:tc>
          <w:tcPr>
            <w:tcW w:w="42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452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27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99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89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105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91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11</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揭阳榕城紫峰山市级森林公园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1560</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8</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揭阳榕城紫峰山地方级森林自然公园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1017.21</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12</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揭阳黄岐山省级森林公园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省级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875.07</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9</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揭阳黄岐山地方级森林自然公园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省级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835.79</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13</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揭阳普宁盘龙阁县级自然保护区</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2120.1</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10</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揭阳普宁盘龙阁地方级森林自然公园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1757.27</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转化-降</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14</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揭阳普宁圆通山县级森林公园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102</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11</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揭阳普宁圆通山地方级森林自然公园园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3454.32</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15</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揭阳普宁三坑县级自然保护区</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3801.6</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12</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揭阳普宁三坑地方级自然保护区</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等线" w:cs="Times New Roman"/>
                <w:color w:val="000000"/>
                <w:kern w:val="0"/>
                <w:sz w:val="21"/>
                <w:szCs w:val="21"/>
                <w:lang w:val="en-US" w:eastAsia="zh-CN"/>
              </w:rPr>
            </w:pPr>
            <w:r>
              <w:rPr>
                <w:rFonts w:hint="default" w:ascii="Times New Roman" w:hAnsi="Times New Roman" w:eastAsia="等线" w:cs="Times New Roman"/>
                <w:color w:val="000000"/>
                <w:kern w:val="0"/>
                <w:sz w:val="21"/>
                <w:szCs w:val="21"/>
              </w:rPr>
              <w:t>3711.5</w:t>
            </w:r>
            <w:r>
              <w:rPr>
                <w:rFonts w:hint="eastAsia" w:eastAsia="等线" w:cs="Times New Roman"/>
                <w:color w:val="000000"/>
                <w:kern w:val="0"/>
                <w:sz w:val="21"/>
                <w:szCs w:val="21"/>
                <w:lang w:val="en-US" w:eastAsia="zh-CN"/>
              </w:rPr>
              <w:t>0</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16</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揭阳普宁大南山县级森林公园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1380</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13</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揭阳普宁大南山地方级森林自然公园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903.71</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17</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揭阳惠来三清山县级森林公园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258.8</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14</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揭阳惠来三清山地方级森林自然公园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137.58</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18</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揭阳惠来蜈蚣岭县级森林公园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496.5</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15</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揭阳惠来蜈蚣岭地方级森林自然公园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2042.24</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blPrEx>
          <w:tblCellMar>
            <w:top w:w="0" w:type="dxa"/>
            <w:left w:w="108" w:type="dxa"/>
            <w:bottom w:w="0" w:type="dxa"/>
            <w:right w:w="108" w:type="dxa"/>
          </w:tblCellMar>
        </w:tblPrEx>
        <w:trPr>
          <w:trHeight w:val="285" w:hRule="atLeast"/>
          <w:jc w:val="center"/>
        </w:trPr>
        <w:tc>
          <w:tcPr>
            <w:tcW w:w="42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19</w:t>
            </w:r>
          </w:p>
        </w:tc>
        <w:tc>
          <w:tcPr>
            <w:tcW w:w="493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揭阳惠来黄光山县级自然保护区</w:t>
            </w:r>
          </w:p>
        </w:tc>
        <w:tc>
          <w:tcPr>
            <w:tcW w:w="127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6874.5</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16</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揭阳惠来黄光山地方级森林自然公园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592.21</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转化-降</w:t>
            </w:r>
          </w:p>
        </w:tc>
      </w:tr>
      <w:tr>
        <w:tblPrEx>
          <w:tblCellMar>
            <w:top w:w="0" w:type="dxa"/>
            <w:left w:w="108" w:type="dxa"/>
            <w:bottom w:w="0" w:type="dxa"/>
            <w:right w:w="108" w:type="dxa"/>
          </w:tblCellMar>
        </w:tblPrEx>
        <w:trPr>
          <w:trHeight w:val="624"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493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27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99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13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42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17</w:t>
            </w:r>
          </w:p>
        </w:tc>
        <w:tc>
          <w:tcPr>
            <w:tcW w:w="452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揭阳惠来石榴潭地方级自然保护区</w:t>
            </w:r>
          </w:p>
        </w:tc>
        <w:tc>
          <w:tcPr>
            <w:tcW w:w="127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自然保护区</w:t>
            </w:r>
          </w:p>
        </w:tc>
        <w:tc>
          <w:tcPr>
            <w:tcW w:w="99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市级</w:t>
            </w:r>
          </w:p>
        </w:tc>
        <w:tc>
          <w:tcPr>
            <w:tcW w:w="189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4897.99</w:t>
            </w:r>
          </w:p>
        </w:tc>
        <w:tc>
          <w:tcPr>
            <w:tcW w:w="105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优化</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20</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揭阳惠来石榴潭县级湿地公园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湿地公园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1048.4</w:t>
            </w:r>
          </w:p>
        </w:tc>
        <w:tc>
          <w:tcPr>
            <w:tcW w:w="42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452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27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99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89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eastAsia="等线" w:cs="Times New Roman"/>
                <w:color w:val="000000"/>
                <w:kern w:val="0"/>
                <w:sz w:val="21"/>
                <w:szCs w:val="21"/>
              </w:rPr>
            </w:pPr>
          </w:p>
        </w:tc>
        <w:tc>
          <w:tcPr>
            <w:tcW w:w="105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c>
          <w:tcPr>
            <w:tcW w:w="191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default" w:ascii="Times New Roman" w:hAnsi="Times New Roman" w:cs="Times New Roman"/>
                <w:color w:val="000000"/>
                <w:kern w:val="0"/>
                <w:sz w:val="21"/>
                <w:szCs w:val="21"/>
              </w:rPr>
            </w:pP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21</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揭阳普宁莲花山县级森林公园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237.7</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拟撤销</w:t>
            </w:r>
          </w:p>
        </w:tc>
      </w:tr>
      <w:tr>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22</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榕江两岸绿化改造工程</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湿地公园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21.4</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拟撤销</w:t>
            </w:r>
          </w:p>
        </w:tc>
      </w:tr>
      <w:tr>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23</w:t>
            </w: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揭阳普宁南方梅园县级湿地公园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湿地公园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80</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拟撤销</w:t>
            </w:r>
          </w:p>
        </w:tc>
      </w:tr>
      <w:tr>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18</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揭阳普宁白坑湖地方级湿地自然公园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湿地公园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131.94</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拟新建</w:t>
            </w:r>
          </w:p>
        </w:tc>
      </w:tr>
      <w:tr>
        <w:tblPrEx>
          <w:tblCellMar>
            <w:top w:w="0" w:type="dxa"/>
            <w:left w:w="108" w:type="dxa"/>
            <w:bottom w:w="0" w:type="dxa"/>
            <w:right w:w="108" w:type="dxa"/>
          </w:tblCellMar>
        </w:tblPrEx>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19</w:t>
            </w: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揭阳普宁善德梅海地方级森林自然公园</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森林公园</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县级</w:t>
            </w: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283.55</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县管</w:t>
            </w: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拟新建</w:t>
            </w:r>
          </w:p>
        </w:tc>
      </w:tr>
      <w:tr>
        <w:trPr>
          <w:trHeight w:val="285" w:hRule="atLeast"/>
          <w:jc w:val="center"/>
        </w:trPr>
        <w:tc>
          <w:tcPr>
            <w:tcW w:w="42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4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合计</w:t>
            </w: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r>
              <w:rPr>
                <w:rFonts w:hint="default" w:ascii="Times New Roman" w:hAnsi="Times New Roman" w:eastAsia="等线" w:cs="Times New Roman"/>
                <w:color w:val="000000"/>
                <w:kern w:val="0"/>
                <w:sz w:val="21"/>
                <w:szCs w:val="21"/>
              </w:rPr>
              <w:t>46493.59</w:t>
            </w:r>
          </w:p>
        </w:tc>
        <w:tc>
          <w:tcPr>
            <w:tcW w:w="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45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12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c>
          <w:tcPr>
            <w:tcW w:w="18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lang w:val="en-US" w:eastAsia="zh-CN"/>
              </w:rPr>
            </w:pPr>
            <w:r>
              <w:rPr>
                <w:rFonts w:hint="eastAsia" w:eastAsia="等线" w:cs="Times New Roman"/>
                <w:color w:val="000000"/>
                <w:kern w:val="0"/>
                <w:sz w:val="21"/>
                <w:szCs w:val="21"/>
                <w:lang w:val="en-US" w:eastAsia="zh-CN"/>
              </w:rPr>
              <w:t>48298.33</w:t>
            </w:r>
          </w:p>
        </w:tc>
        <w:tc>
          <w:tcPr>
            <w:tcW w:w="10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b/>
                <w:bCs/>
                <w:color w:val="000000"/>
                <w:kern w:val="0"/>
                <w:sz w:val="21"/>
                <w:szCs w:val="21"/>
              </w:rPr>
            </w:pPr>
          </w:p>
        </w:tc>
        <w:tc>
          <w:tcPr>
            <w:tcW w:w="191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等线" w:cs="Times New Roman"/>
                <w:color w:val="000000"/>
                <w:kern w:val="0"/>
                <w:sz w:val="21"/>
                <w:szCs w:val="21"/>
              </w:rPr>
            </w:pPr>
          </w:p>
        </w:tc>
      </w:tr>
    </w:tbl>
    <w:p>
      <w:pPr>
        <w:ind w:firstLine="640"/>
        <w:rPr>
          <w:rFonts w:ascii="Times New Roman" w:hAnsi="Times New Roman" w:eastAsia="方正仿宋_GBK" w:cs="Times New Roman"/>
          <w:sz w:val="32"/>
          <w:szCs w:val="32"/>
        </w:rPr>
        <w:sectPr>
          <w:footerReference r:id="rId11" w:type="default"/>
          <w:pgSz w:w="23757" w:h="16783" w:orient="landscape"/>
          <w:pgMar w:top="1800" w:right="1440" w:bottom="1800" w:left="1440" w:header="851" w:footer="992" w:gutter="0"/>
          <w:pgNumType w:start="1"/>
          <w:cols w:space="720" w:num="1"/>
          <w:docGrid w:type="lines" w:linePitch="312" w:charSpace="0"/>
        </w:sectPr>
      </w:pPr>
    </w:p>
    <w:tbl>
      <w:tblPr>
        <w:tblStyle w:val="17"/>
        <w:tblW w:w="13948" w:type="dxa"/>
        <w:jc w:val="center"/>
        <w:shd w:val="clear" w:color="auto" w:fill="auto"/>
        <w:tblLayout w:type="autofit"/>
        <w:tblCellMar>
          <w:top w:w="0" w:type="dxa"/>
          <w:left w:w="108" w:type="dxa"/>
          <w:bottom w:w="0" w:type="dxa"/>
          <w:right w:w="108" w:type="dxa"/>
        </w:tblCellMar>
      </w:tblPr>
      <w:tblGrid>
        <w:gridCol w:w="1472"/>
        <w:gridCol w:w="1184"/>
        <w:gridCol w:w="1906"/>
        <w:gridCol w:w="2253"/>
        <w:gridCol w:w="1789"/>
        <w:gridCol w:w="1185"/>
        <w:gridCol w:w="1906"/>
        <w:gridCol w:w="2253"/>
      </w:tblGrid>
      <w:tr>
        <w:tblPrEx>
          <w:shd w:val="clear" w:color="auto" w:fill="auto"/>
          <w:tblCellMar>
            <w:top w:w="0" w:type="dxa"/>
            <w:left w:w="108" w:type="dxa"/>
            <w:bottom w:w="0" w:type="dxa"/>
            <w:right w:w="108" w:type="dxa"/>
          </w:tblCellMar>
        </w:tblPrEx>
        <w:trPr>
          <w:trHeight w:val="272" w:hRule="atLeast"/>
          <w:jc w:val="center"/>
        </w:trPr>
        <w:tc>
          <w:tcPr>
            <w:tcW w:w="1472" w:type="dxa"/>
            <w:tcBorders>
              <w:top w:val="nil"/>
              <w:left w:val="nil"/>
              <w:bottom w:val="nil"/>
              <w:right w:val="nil"/>
            </w:tcBorders>
            <w:shd w:val="clear" w:color="auto" w:fill="auto"/>
            <w:noWrap/>
            <w:vAlign w:val="center"/>
          </w:tcPr>
          <w:p>
            <w:pPr>
              <w:widowControl/>
              <w:spacing w:line="240" w:lineRule="auto"/>
              <w:ind w:firstLine="0" w:firstLineChars="0"/>
              <w:jc w:val="left"/>
              <w:rPr>
                <w:rFonts w:ascii="Times New Roman" w:hAnsi="Times New Roman" w:eastAsia="黑体" w:cstheme="minorBidi"/>
                <w:color w:val="000000"/>
                <w:kern w:val="0"/>
                <w:sz w:val="28"/>
                <w:szCs w:val="28"/>
              </w:rPr>
            </w:pPr>
            <w:r>
              <w:rPr>
                <w:rFonts w:ascii="Times New Roman" w:hAnsi="Times New Roman" w:eastAsia="黑体" w:cstheme="minorBidi"/>
                <w:color w:val="000000"/>
                <w:kern w:val="0"/>
                <w:sz w:val="28"/>
                <w:szCs w:val="28"/>
              </w:rPr>
              <w:t>附表2</w:t>
            </w:r>
          </w:p>
        </w:tc>
        <w:tc>
          <w:tcPr>
            <w:tcW w:w="1184" w:type="dxa"/>
            <w:tcBorders>
              <w:top w:val="nil"/>
              <w:left w:val="nil"/>
              <w:bottom w:val="nil"/>
              <w:right w:val="nil"/>
            </w:tcBorders>
            <w:shd w:val="clear" w:color="auto" w:fill="auto"/>
            <w:noWrap/>
            <w:vAlign w:val="center"/>
          </w:tcPr>
          <w:p>
            <w:pPr>
              <w:widowControl/>
              <w:spacing w:line="240" w:lineRule="auto"/>
              <w:ind w:firstLine="0" w:firstLineChars="0"/>
              <w:jc w:val="left"/>
              <w:rPr>
                <w:rFonts w:ascii="Times New Roman" w:hAnsi="Times New Roman" w:eastAsia="黑体" w:cstheme="minorBidi"/>
                <w:color w:val="000000"/>
                <w:kern w:val="0"/>
                <w:sz w:val="28"/>
                <w:szCs w:val="28"/>
              </w:rPr>
            </w:pPr>
          </w:p>
        </w:tc>
        <w:tc>
          <w:tcPr>
            <w:tcW w:w="1906" w:type="dxa"/>
            <w:tcBorders>
              <w:top w:val="nil"/>
              <w:left w:val="nil"/>
              <w:bottom w:val="nil"/>
              <w:right w:val="nil"/>
            </w:tcBorders>
            <w:shd w:val="clear" w:color="auto" w:fill="auto"/>
            <w:noWrap/>
            <w:vAlign w:val="center"/>
          </w:tcPr>
          <w:p>
            <w:pPr>
              <w:widowControl/>
              <w:spacing w:line="240" w:lineRule="auto"/>
              <w:ind w:firstLine="0" w:firstLineChars="0"/>
              <w:rPr>
                <w:rFonts w:ascii="Times New Roman" w:hAnsi="Times New Roman" w:eastAsia="Times New Roman" w:cstheme="minorBidi"/>
                <w:kern w:val="0"/>
                <w:sz w:val="20"/>
                <w:szCs w:val="20"/>
              </w:rPr>
            </w:pPr>
          </w:p>
        </w:tc>
        <w:tc>
          <w:tcPr>
            <w:tcW w:w="2253" w:type="dxa"/>
            <w:tcBorders>
              <w:top w:val="nil"/>
              <w:left w:val="nil"/>
              <w:bottom w:val="nil"/>
              <w:right w:val="nil"/>
            </w:tcBorders>
            <w:shd w:val="clear" w:color="auto" w:fill="auto"/>
            <w:noWrap/>
            <w:vAlign w:val="center"/>
          </w:tcPr>
          <w:p>
            <w:pPr>
              <w:widowControl/>
              <w:spacing w:line="240" w:lineRule="auto"/>
              <w:ind w:firstLine="0" w:firstLineChars="0"/>
              <w:rPr>
                <w:rFonts w:ascii="Times New Roman" w:hAnsi="Times New Roman" w:eastAsia="Times New Roman" w:cstheme="minorBidi"/>
                <w:kern w:val="0"/>
                <w:sz w:val="20"/>
                <w:szCs w:val="20"/>
              </w:rPr>
            </w:pPr>
          </w:p>
        </w:tc>
        <w:tc>
          <w:tcPr>
            <w:tcW w:w="1789" w:type="dxa"/>
            <w:tcBorders>
              <w:top w:val="nil"/>
              <w:left w:val="nil"/>
              <w:bottom w:val="nil"/>
              <w:right w:val="nil"/>
            </w:tcBorders>
            <w:shd w:val="clear" w:color="auto" w:fill="auto"/>
            <w:noWrap/>
            <w:vAlign w:val="center"/>
          </w:tcPr>
          <w:p>
            <w:pPr>
              <w:widowControl/>
              <w:spacing w:line="240" w:lineRule="auto"/>
              <w:ind w:firstLine="0" w:firstLineChars="0"/>
              <w:rPr>
                <w:rFonts w:ascii="Times New Roman" w:hAnsi="Times New Roman" w:eastAsia="Times New Roman" w:cstheme="minorBidi"/>
                <w:kern w:val="0"/>
                <w:sz w:val="20"/>
                <w:szCs w:val="20"/>
              </w:rPr>
            </w:pPr>
          </w:p>
        </w:tc>
        <w:tc>
          <w:tcPr>
            <w:tcW w:w="1185" w:type="dxa"/>
            <w:tcBorders>
              <w:top w:val="nil"/>
              <w:left w:val="nil"/>
              <w:bottom w:val="nil"/>
              <w:right w:val="nil"/>
            </w:tcBorders>
            <w:shd w:val="clear" w:color="auto" w:fill="auto"/>
            <w:noWrap/>
            <w:vAlign w:val="center"/>
          </w:tcPr>
          <w:p>
            <w:pPr>
              <w:widowControl/>
              <w:spacing w:line="240" w:lineRule="auto"/>
              <w:ind w:firstLine="0" w:firstLineChars="0"/>
              <w:rPr>
                <w:rFonts w:ascii="Times New Roman" w:hAnsi="Times New Roman" w:eastAsia="Times New Roman" w:cstheme="minorBidi"/>
                <w:kern w:val="0"/>
                <w:sz w:val="20"/>
                <w:szCs w:val="20"/>
              </w:rPr>
            </w:pPr>
          </w:p>
        </w:tc>
        <w:tc>
          <w:tcPr>
            <w:tcW w:w="1906" w:type="dxa"/>
            <w:tcBorders>
              <w:top w:val="nil"/>
              <w:left w:val="nil"/>
              <w:bottom w:val="nil"/>
              <w:right w:val="nil"/>
            </w:tcBorders>
            <w:shd w:val="clear" w:color="auto" w:fill="auto"/>
            <w:noWrap/>
            <w:vAlign w:val="center"/>
          </w:tcPr>
          <w:p>
            <w:pPr>
              <w:widowControl/>
              <w:spacing w:line="240" w:lineRule="auto"/>
              <w:ind w:firstLine="0" w:firstLineChars="0"/>
              <w:rPr>
                <w:rFonts w:ascii="Times New Roman" w:hAnsi="Times New Roman" w:eastAsia="Times New Roman" w:cstheme="minorBidi"/>
                <w:kern w:val="0"/>
                <w:sz w:val="20"/>
                <w:szCs w:val="20"/>
              </w:rPr>
            </w:pPr>
          </w:p>
        </w:tc>
        <w:tc>
          <w:tcPr>
            <w:tcW w:w="2253" w:type="dxa"/>
            <w:tcBorders>
              <w:top w:val="nil"/>
              <w:left w:val="nil"/>
              <w:bottom w:val="nil"/>
              <w:right w:val="nil"/>
            </w:tcBorders>
            <w:shd w:val="clear" w:color="auto" w:fill="auto"/>
            <w:noWrap/>
            <w:vAlign w:val="center"/>
          </w:tcPr>
          <w:p>
            <w:pPr>
              <w:widowControl/>
              <w:spacing w:line="240" w:lineRule="auto"/>
              <w:ind w:firstLine="0" w:firstLineChars="0"/>
              <w:rPr>
                <w:rFonts w:ascii="Times New Roman" w:hAnsi="Times New Roman" w:eastAsia="Times New Roman" w:cstheme="minorBidi"/>
                <w:kern w:val="0"/>
                <w:sz w:val="20"/>
                <w:szCs w:val="20"/>
              </w:rPr>
            </w:pPr>
          </w:p>
        </w:tc>
      </w:tr>
      <w:tr>
        <w:tblPrEx>
          <w:shd w:val="clear" w:color="auto" w:fill="auto"/>
          <w:tblCellMar>
            <w:top w:w="0" w:type="dxa"/>
            <w:left w:w="108" w:type="dxa"/>
            <w:bottom w:w="0" w:type="dxa"/>
            <w:right w:w="108" w:type="dxa"/>
          </w:tblCellMar>
        </w:tblPrEx>
        <w:trPr>
          <w:trHeight w:val="294" w:hRule="atLeast"/>
          <w:jc w:val="center"/>
        </w:trPr>
        <w:tc>
          <w:tcPr>
            <w:tcW w:w="13948" w:type="dxa"/>
            <w:gridSpan w:val="8"/>
            <w:tcBorders>
              <w:top w:val="nil"/>
              <w:left w:val="nil"/>
              <w:bottom w:val="single" w:color="auto" w:sz="4" w:space="0"/>
              <w:right w:val="nil"/>
            </w:tcBorders>
            <w:shd w:val="clear" w:color="auto" w:fill="auto"/>
            <w:noWrap/>
            <w:vAlign w:val="center"/>
          </w:tcPr>
          <w:p>
            <w:pPr>
              <w:widowControl/>
              <w:spacing w:line="240" w:lineRule="auto"/>
              <w:ind w:firstLine="0" w:firstLineChars="0"/>
              <w:jc w:val="center"/>
              <w:rPr>
                <w:rFonts w:ascii="Times New Roman" w:hAnsi="Times New Roman" w:eastAsia="方正小标宋简体" w:cstheme="minorBidi"/>
                <w:color w:val="000000"/>
                <w:kern w:val="0"/>
                <w:szCs w:val="30"/>
              </w:rPr>
            </w:pPr>
            <w:r>
              <w:rPr>
                <w:rFonts w:ascii="Times New Roman" w:hAnsi="Times New Roman" w:eastAsia="方正小标宋简体" w:cstheme="minorBidi"/>
                <w:color w:val="000000"/>
                <w:kern w:val="0"/>
                <w:szCs w:val="30"/>
              </w:rPr>
              <w:t>揭阳市自然保护地整合优化汇总表</w:t>
            </w:r>
          </w:p>
        </w:tc>
      </w:tr>
      <w:tr>
        <w:tblPrEx>
          <w:shd w:val="clear" w:color="auto" w:fill="auto"/>
          <w:tblCellMar>
            <w:top w:w="0" w:type="dxa"/>
            <w:left w:w="108" w:type="dxa"/>
            <w:bottom w:w="0" w:type="dxa"/>
            <w:right w:w="108" w:type="dxa"/>
          </w:tblCellMar>
        </w:tblPrEx>
        <w:trPr>
          <w:trHeight w:val="206" w:hRule="atLeast"/>
          <w:jc w:val="center"/>
        </w:trPr>
        <w:tc>
          <w:tcPr>
            <w:tcW w:w="681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b/>
                <w:bCs/>
                <w:color w:val="000000"/>
                <w:kern w:val="0"/>
                <w:sz w:val="21"/>
                <w:szCs w:val="21"/>
              </w:rPr>
            </w:pPr>
            <w:r>
              <w:rPr>
                <w:rFonts w:ascii="Times New Roman" w:hAnsi="Times New Roman" w:cstheme="minorBidi"/>
                <w:b/>
                <w:bCs/>
                <w:color w:val="000000"/>
                <w:kern w:val="0"/>
                <w:sz w:val="21"/>
                <w:szCs w:val="21"/>
              </w:rPr>
              <w:t>优化调整前</w:t>
            </w:r>
          </w:p>
        </w:tc>
        <w:tc>
          <w:tcPr>
            <w:tcW w:w="7133" w:type="dxa"/>
            <w:gridSpan w:val="4"/>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b/>
                <w:bCs/>
                <w:color w:val="000000"/>
                <w:kern w:val="0"/>
                <w:sz w:val="21"/>
                <w:szCs w:val="21"/>
              </w:rPr>
            </w:pPr>
            <w:r>
              <w:rPr>
                <w:rFonts w:ascii="Times New Roman" w:hAnsi="Times New Roman" w:cstheme="minorBidi"/>
                <w:b/>
                <w:bCs/>
                <w:color w:val="000000"/>
                <w:kern w:val="0"/>
                <w:sz w:val="21"/>
                <w:szCs w:val="21"/>
              </w:rPr>
              <w:t>优化调整后</w:t>
            </w:r>
          </w:p>
        </w:tc>
      </w:tr>
      <w:tr>
        <w:tblPrEx>
          <w:shd w:val="clear" w:color="auto" w:fill="auto"/>
          <w:tblCellMar>
            <w:top w:w="0" w:type="dxa"/>
            <w:left w:w="108" w:type="dxa"/>
            <w:bottom w:w="0" w:type="dxa"/>
            <w:right w:w="108" w:type="dxa"/>
          </w:tblCellMar>
        </w:tblPrEx>
        <w:trPr>
          <w:trHeight w:val="206" w:hRule="atLeast"/>
          <w:jc w:val="center"/>
        </w:trPr>
        <w:tc>
          <w:tcPr>
            <w:tcW w:w="265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b/>
                <w:bCs/>
                <w:color w:val="000000"/>
                <w:kern w:val="0"/>
                <w:sz w:val="21"/>
                <w:szCs w:val="21"/>
              </w:rPr>
            </w:pPr>
            <w:r>
              <w:rPr>
                <w:rFonts w:ascii="Times New Roman" w:hAnsi="Times New Roman" w:cstheme="minorBidi"/>
                <w:b/>
                <w:bCs/>
                <w:color w:val="000000"/>
                <w:kern w:val="0"/>
                <w:sz w:val="21"/>
                <w:szCs w:val="21"/>
              </w:rPr>
              <w:t>自然保护地类型</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b/>
                <w:bCs/>
                <w:color w:val="000000"/>
                <w:kern w:val="0"/>
                <w:sz w:val="21"/>
                <w:szCs w:val="21"/>
              </w:rPr>
            </w:pPr>
            <w:r>
              <w:rPr>
                <w:rFonts w:ascii="Times New Roman" w:hAnsi="Times New Roman" w:cstheme="minorBidi"/>
                <w:b/>
                <w:bCs/>
                <w:color w:val="000000"/>
                <w:kern w:val="0"/>
                <w:sz w:val="21"/>
                <w:szCs w:val="21"/>
              </w:rPr>
              <w:t>数量（个）</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b/>
                <w:bCs/>
                <w:color w:val="000000"/>
                <w:kern w:val="0"/>
                <w:sz w:val="21"/>
                <w:szCs w:val="21"/>
              </w:rPr>
            </w:pPr>
            <w:r>
              <w:rPr>
                <w:rFonts w:ascii="Times New Roman" w:hAnsi="Times New Roman" w:cstheme="minorBidi"/>
                <w:b/>
                <w:bCs/>
                <w:color w:val="000000"/>
                <w:kern w:val="0"/>
                <w:sz w:val="21"/>
                <w:szCs w:val="21"/>
              </w:rPr>
              <w:t>面积（公顷）</w:t>
            </w:r>
          </w:p>
        </w:tc>
        <w:tc>
          <w:tcPr>
            <w:tcW w:w="297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b/>
                <w:bCs/>
                <w:color w:val="000000"/>
                <w:kern w:val="0"/>
                <w:sz w:val="21"/>
                <w:szCs w:val="21"/>
              </w:rPr>
            </w:pPr>
            <w:r>
              <w:rPr>
                <w:rFonts w:ascii="Times New Roman" w:hAnsi="Times New Roman" w:cstheme="minorBidi"/>
                <w:b/>
                <w:bCs/>
                <w:color w:val="000000"/>
                <w:kern w:val="0"/>
                <w:sz w:val="21"/>
                <w:szCs w:val="21"/>
              </w:rPr>
              <w:t>自然保护地类型</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b/>
                <w:bCs/>
                <w:color w:val="000000"/>
                <w:kern w:val="0"/>
                <w:sz w:val="21"/>
                <w:szCs w:val="21"/>
              </w:rPr>
            </w:pPr>
            <w:r>
              <w:rPr>
                <w:rFonts w:ascii="Times New Roman" w:hAnsi="Times New Roman" w:cstheme="minorBidi"/>
                <w:b/>
                <w:bCs/>
                <w:color w:val="000000"/>
                <w:kern w:val="0"/>
                <w:sz w:val="21"/>
                <w:szCs w:val="21"/>
              </w:rPr>
              <w:t>数量（个）</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b/>
                <w:bCs/>
                <w:color w:val="000000"/>
                <w:kern w:val="0"/>
                <w:sz w:val="21"/>
                <w:szCs w:val="21"/>
              </w:rPr>
            </w:pPr>
            <w:r>
              <w:rPr>
                <w:rFonts w:ascii="Times New Roman" w:hAnsi="Times New Roman" w:cstheme="minorBidi"/>
                <w:b/>
                <w:bCs/>
                <w:color w:val="000000"/>
                <w:kern w:val="0"/>
                <w:sz w:val="21"/>
                <w:szCs w:val="21"/>
              </w:rPr>
              <w:t>面积（公顷）</w:t>
            </w:r>
          </w:p>
        </w:tc>
      </w:tr>
      <w:tr>
        <w:tblPrEx>
          <w:shd w:val="clear" w:color="auto" w:fill="auto"/>
          <w:tblCellMar>
            <w:top w:w="0" w:type="dxa"/>
            <w:left w:w="108" w:type="dxa"/>
            <w:bottom w:w="0" w:type="dxa"/>
            <w:right w:w="108" w:type="dxa"/>
          </w:tblCellMar>
        </w:tblPrEx>
        <w:trPr>
          <w:trHeight w:val="206" w:hRule="atLeast"/>
          <w:jc w:val="center"/>
        </w:trPr>
        <w:tc>
          <w:tcPr>
            <w:tcW w:w="265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自然保护区</w:t>
            </w:r>
          </w:p>
        </w:tc>
        <w:tc>
          <w:tcPr>
            <w:tcW w:w="19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7</w:t>
            </w:r>
          </w:p>
        </w:tc>
        <w:tc>
          <w:tcPr>
            <w:tcW w:w="22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33364.62</w:t>
            </w:r>
          </w:p>
        </w:tc>
        <w:tc>
          <w:tcPr>
            <w:tcW w:w="297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自然保护区</w:t>
            </w:r>
          </w:p>
        </w:tc>
        <w:tc>
          <w:tcPr>
            <w:tcW w:w="19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5</w:t>
            </w:r>
          </w:p>
        </w:tc>
        <w:tc>
          <w:tcPr>
            <w:tcW w:w="22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eastAsia="zh-CN"/>
              </w:rPr>
            </w:pPr>
            <w:r>
              <w:rPr>
                <w:rFonts w:hint="eastAsia" w:cstheme="minorBidi"/>
                <w:color w:val="000000"/>
                <w:kern w:val="0"/>
                <w:sz w:val="21"/>
                <w:szCs w:val="21"/>
                <w:lang w:eastAsia="zh-CN"/>
              </w:rPr>
              <w:t>23569.38</w:t>
            </w:r>
          </w:p>
        </w:tc>
      </w:tr>
      <w:tr>
        <w:tblPrEx>
          <w:shd w:val="clear" w:color="auto" w:fill="auto"/>
          <w:tblCellMar>
            <w:top w:w="0" w:type="dxa"/>
            <w:left w:w="108" w:type="dxa"/>
            <w:bottom w:w="0" w:type="dxa"/>
            <w:right w:w="108" w:type="dxa"/>
          </w:tblCellMar>
        </w:tblPrEx>
        <w:trPr>
          <w:trHeight w:val="180" w:hRule="atLeast"/>
          <w:jc w:val="center"/>
        </w:trPr>
        <w:tc>
          <w:tcPr>
            <w:tcW w:w="14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国家级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178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1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国家级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r>
      <w:tr>
        <w:tblPrEx>
          <w:shd w:val="clear" w:color="auto" w:fill="auto"/>
          <w:tblCellMar>
            <w:top w:w="0" w:type="dxa"/>
            <w:left w:w="108" w:type="dxa"/>
            <w:bottom w:w="0" w:type="dxa"/>
            <w:right w:w="108" w:type="dxa"/>
          </w:tblCellMar>
        </w:tblPrEx>
        <w:trPr>
          <w:trHeight w:val="206" w:hRule="atLeast"/>
          <w:jc w:val="center"/>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省级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1</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6713.22</w:t>
            </w: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eastAsia="zh-CN"/>
              </w:rPr>
            </w:pPr>
            <w:r>
              <w:rPr>
                <w:rFonts w:hint="eastAsia" w:ascii="Times New Roman" w:hAnsi="Times New Roman" w:cstheme="minorBidi"/>
                <w:color w:val="000000"/>
                <w:kern w:val="0"/>
                <w:sz w:val="21"/>
                <w:szCs w:val="21"/>
                <w:lang w:val="en-US" w:eastAsia="zh-CN"/>
              </w:rPr>
              <w:t>地方级</w:t>
            </w:r>
          </w:p>
        </w:tc>
        <w:tc>
          <w:tcPr>
            <w:tcW w:w="1906"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val="en-US" w:eastAsia="zh-CN"/>
              </w:rPr>
            </w:pPr>
            <w:r>
              <w:rPr>
                <w:rFonts w:hint="eastAsia" w:ascii="Times New Roman" w:hAnsi="Times New Roman" w:cstheme="minorBidi"/>
                <w:color w:val="000000"/>
                <w:kern w:val="0"/>
                <w:sz w:val="21"/>
                <w:szCs w:val="21"/>
                <w:lang w:val="en-US" w:eastAsia="zh-CN"/>
              </w:rPr>
              <w:t>5</w:t>
            </w:r>
          </w:p>
        </w:tc>
        <w:tc>
          <w:tcPr>
            <w:tcW w:w="2253"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eastAsia="zh-CN"/>
              </w:rPr>
            </w:pPr>
            <w:r>
              <w:rPr>
                <w:rFonts w:hint="eastAsia" w:cstheme="minorBidi"/>
                <w:color w:val="000000"/>
                <w:kern w:val="0"/>
                <w:sz w:val="21"/>
                <w:szCs w:val="21"/>
                <w:lang w:eastAsia="zh-CN"/>
              </w:rPr>
              <w:t>23569.38</w:t>
            </w:r>
          </w:p>
        </w:tc>
      </w:tr>
      <w:tr>
        <w:tblPrEx>
          <w:shd w:val="clear" w:color="auto" w:fill="auto"/>
          <w:tblCellMar>
            <w:top w:w="0" w:type="dxa"/>
            <w:left w:w="108" w:type="dxa"/>
            <w:bottom w:w="0" w:type="dxa"/>
            <w:right w:w="108" w:type="dxa"/>
          </w:tblCellMar>
        </w:tblPrEx>
        <w:trPr>
          <w:trHeight w:val="218" w:hRule="atLeast"/>
          <w:jc w:val="center"/>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市级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2"/>
                <w:szCs w:val="22"/>
              </w:rPr>
            </w:pPr>
            <w:r>
              <w:rPr>
                <w:rFonts w:ascii="Times New Roman" w:hAnsi="Times New Roman" w:cstheme="minorBidi"/>
                <w:color w:val="000000"/>
                <w:kern w:val="0"/>
                <w:sz w:val="22"/>
                <w:szCs w:val="22"/>
              </w:rPr>
              <w:t xml:space="preserve">1 </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2"/>
                <w:szCs w:val="22"/>
              </w:rPr>
            </w:pPr>
            <w:r>
              <w:rPr>
                <w:rFonts w:ascii="Times New Roman" w:hAnsi="Times New Roman" w:cstheme="minorBidi"/>
                <w:color w:val="000000"/>
                <w:kern w:val="0"/>
                <w:sz w:val="22"/>
                <w:szCs w:val="22"/>
              </w:rPr>
              <w:t xml:space="preserve">7056.20 </w:t>
            </w: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906"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2253"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r>
      <w:tr>
        <w:tblPrEx>
          <w:shd w:val="clear" w:color="auto" w:fill="auto"/>
          <w:tblCellMar>
            <w:top w:w="0" w:type="dxa"/>
            <w:left w:w="108" w:type="dxa"/>
            <w:bottom w:w="0" w:type="dxa"/>
            <w:right w:w="108" w:type="dxa"/>
          </w:tblCellMar>
        </w:tblPrEx>
        <w:trPr>
          <w:trHeight w:val="218" w:hRule="atLeast"/>
          <w:jc w:val="center"/>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县级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2"/>
                <w:szCs w:val="22"/>
              </w:rPr>
            </w:pPr>
            <w:r>
              <w:rPr>
                <w:rFonts w:ascii="Times New Roman" w:hAnsi="Times New Roman" w:cstheme="minorBidi"/>
                <w:color w:val="000000"/>
                <w:kern w:val="0"/>
                <w:sz w:val="22"/>
                <w:szCs w:val="22"/>
              </w:rPr>
              <w:t xml:space="preserve">5 </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2"/>
                <w:szCs w:val="22"/>
              </w:rPr>
            </w:pPr>
            <w:r>
              <w:rPr>
                <w:rFonts w:ascii="Times New Roman" w:hAnsi="Times New Roman" w:cstheme="minorBidi"/>
                <w:color w:val="000000"/>
                <w:kern w:val="0"/>
                <w:sz w:val="22"/>
                <w:szCs w:val="22"/>
              </w:rPr>
              <w:t xml:space="preserve">19595.20 </w:t>
            </w: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906"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2253"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r>
      <w:tr>
        <w:tblPrEx>
          <w:shd w:val="clear" w:color="auto" w:fill="auto"/>
          <w:tblCellMar>
            <w:top w:w="0" w:type="dxa"/>
            <w:left w:w="108" w:type="dxa"/>
            <w:bottom w:w="0" w:type="dxa"/>
            <w:right w:w="108" w:type="dxa"/>
          </w:tblCellMar>
        </w:tblPrEx>
        <w:trPr>
          <w:trHeight w:val="206" w:hRule="atLeast"/>
          <w:jc w:val="center"/>
        </w:trPr>
        <w:tc>
          <w:tcPr>
            <w:tcW w:w="265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自然公园</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16</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13128.97</w:t>
            </w:r>
          </w:p>
        </w:tc>
        <w:tc>
          <w:tcPr>
            <w:tcW w:w="297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自然公园</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14</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仿宋_GB2312" w:cstheme="minorBidi"/>
                <w:color w:val="000000"/>
                <w:kern w:val="0"/>
                <w:sz w:val="21"/>
                <w:szCs w:val="21"/>
                <w:lang w:val="en-US" w:eastAsia="zh-CN"/>
              </w:rPr>
            </w:pPr>
            <w:r>
              <w:rPr>
                <w:rFonts w:hint="eastAsia" w:cstheme="minorBidi"/>
                <w:color w:val="000000"/>
                <w:kern w:val="0"/>
                <w:sz w:val="21"/>
                <w:szCs w:val="21"/>
                <w:lang w:val="en-US" w:eastAsia="zh-CN"/>
              </w:rPr>
              <w:t>24728.95</w:t>
            </w:r>
          </w:p>
        </w:tc>
      </w:tr>
      <w:tr>
        <w:tblPrEx>
          <w:shd w:val="clear" w:color="auto" w:fill="auto"/>
          <w:tblCellMar>
            <w:top w:w="0" w:type="dxa"/>
            <w:left w:w="108" w:type="dxa"/>
            <w:bottom w:w="0" w:type="dxa"/>
            <w:right w:w="108" w:type="dxa"/>
          </w:tblCellMar>
        </w:tblPrEx>
        <w:trPr>
          <w:trHeight w:val="206" w:hRule="atLeast"/>
          <w:jc w:val="center"/>
        </w:trPr>
        <w:tc>
          <w:tcPr>
            <w:tcW w:w="14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森林公园</w:t>
            </w: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小计</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11</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8569.17</w:t>
            </w:r>
          </w:p>
        </w:tc>
        <w:tc>
          <w:tcPr>
            <w:tcW w:w="178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森林公园</w:t>
            </w:r>
          </w:p>
        </w:tc>
        <w:tc>
          <w:tcPr>
            <w:tcW w:w="11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小计</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12</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r>
      <w:tr>
        <w:tblPrEx>
          <w:shd w:val="clear" w:color="auto" w:fill="auto"/>
          <w:tblCellMar>
            <w:top w:w="0" w:type="dxa"/>
            <w:left w:w="108" w:type="dxa"/>
            <w:bottom w:w="0" w:type="dxa"/>
            <w:right w:w="108" w:type="dxa"/>
          </w:tblCellMar>
        </w:tblPrEx>
        <w:trPr>
          <w:trHeight w:val="206" w:hRule="atLeast"/>
          <w:jc w:val="center"/>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国家级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1</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3067.2</w:t>
            </w: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国家级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1</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eastAsia="zh-CN"/>
              </w:rPr>
            </w:pPr>
            <w:r>
              <w:rPr>
                <w:rFonts w:hint="eastAsia" w:cstheme="minorBidi"/>
                <w:color w:val="000000"/>
                <w:kern w:val="0"/>
                <w:sz w:val="21"/>
                <w:szCs w:val="21"/>
                <w:lang w:eastAsia="zh-CN"/>
              </w:rPr>
              <w:t>12934.51</w:t>
            </w:r>
          </w:p>
        </w:tc>
      </w:tr>
      <w:tr>
        <w:tblPrEx>
          <w:shd w:val="clear" w:color="auto" w:fill="auto"/>
          <w:tblCellMar>
            <w:top w:w="0" w:type="dxa"/>
            <w:left w:w="108" w:type="dxa"/>
            <w:bottom w:w="0" w:type="dxa"/>
            <w:right w:w="108" w:type="dxa"/>
          </w:tblCellMar>
        </w:tblPrEx>
        <w:trPr>
          <w:trHeight w:val="228" w:hRule="atLeast"/>
          <w:jc w:val="center"/>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省级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2"/>
                <w:szCs w:val="22"/>
              </w:rPr>
            </w:pPr>
            <w:r>
              <w:rPr>
                <w:rFonts w:ascii="Times New Roman" w:hAnsi="Times New Roman" w:cstheme="minorBidi"/>
                <w:color w:val="000000"/>
                <w:kern w:val="0"/>
                <w:sz w:val="22"/>
                <w:szCs w:val="22"/>
              </w:rPr>
              <w:t xml:space="preserve">1 </w:t>
            </w:r>
          </w:p>
        </w:tc>
        <w:tc>
          <w:tcPr>
            <w:tcW w:w="225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heme="minorBidi"/>
                <w:color w:val="000000"/>
                <w:kern w:val="0"/>
                <w:sz w:val="24"/>
                <w:szCs w:val="24"/>
              </w:rPr>
            </w:pPr>
            <w:r>
              <w:rPr>
                <w:rFonts w:ascii="Times New Roman" w:hAnsi="Times New Roman" w:cstheme="minorBidi"/>
                <w:color w:val="000000"/>
                <w:kern w:val="0"/>
                <w:sz w:val="24"/>
                <w:szCs w:val="24"/>
              </w:rPr>
              <w:t xml:space="preserve">875.07 </w:t>
            </w: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eastAsia="zh-CN"/>
              </w:rPr>
            </w:pPr>
            <w:r>
              <w:rPr>
                <w:rFonts w:hint="eastAsia" w:ascii="Times New Roman" w:hAnsi="Times New Roman" w:cstheme="minorBidi"/>
                <w:color w:val="000000"/>
                <w:kern w:val="0"/>
                <w:sz w:val="21"/>
                <w:szCs w:val="21"/>
                <w:lang w:val="en-US" w:eastAsia="zh-CN"/>
              </w:rPr>
              <w:t>地方级</w:t>
            </w:r>
          </w:p>
        </w:tc>
        <w:tc>
          <w:tcPr>
            <w:tcW w:w="1906"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eastAsia="zh-CN"/>
              </w:rPr>
            </w:pPr>
            <w:r>
              <w:rPr>
                <w:rFonts w:hint="eastAsia" w:ascii="Times New Roman" w:hAnsi="Times New Roman" w:cstheme="minorBidi"/>
                <w:color w:val="000000"/>
                <w:kern w:val="0"/>
                <w:sz w:val="21"/>
                <w:szCs w:val="21"/>
              </w:rPr>
              <w:t>1</w:t>
            </w:r>
            <w:r>
              <w:rPr>
                <w:rFonts w:hint="eastAsia" w:cstheme="minorBidi"/>
                <w:color w:val="000000"/>
                <w:kern w:val="0"/>
                <w:sz w:val="21"/>
                <w:szCs w:val="21"/>
                <w:lang w:val="en-US" w:eastAsia="zh-CN"/>
              </w:rPr>
              <w:t>1</w:t>
            </w:r>
          </w:p>
        </w:tc>
        <w:tc>
          <w:tcPr>
            <w:tcW w:w="2253"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eastAsia="zh-CN"/>
              </w:rPr>
            </w:pPr>
            <w:r>
              <w:rPr>
                <w:rFonts w:hint="eastAsia" w:cstheme="minorBidi"/>
                <w:color w:val="000000"/>
                <w:kern w:val="0"/>
                <w:sz w:val="21"/>
                <w:szCs w:val="21"/>
                <w:lang w:eastAsia="zh-CN"/>
              </w:rPr>
              <w:t>11794.44</w:t>
            </w:r>
          </w:p>
        </w:tc>
      </w:tr>
      <w:tr>
        <w:tblPrEx>
          <w:shd w:val="clear" w:color="auto" w:fill="auto"/>
          <w:tblCellMar>
            <w:top w:w="0" w:type="dxa"/>
            <w:left w:w="108" w:type="dxa"/>
            <w:bottom w:w="0" w:type="dxa"/>
            <w:right w:w="108" w:type="dxa"/>
          </w:tblCellMar>
        </w:tblPrEx>
        <w:trPr>
          <w:trHeight w:val="218" w:hRule="atLeast"/>
          <w:jc w:val="center"/>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市级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2"/>
                <w:szCs w:val="22"/>
              </w:rPr>
            </w:pPr>
            <w:r>
              <w:rPr>
                <w:rFonts w:ascii="Times New Roman" w:hAnsi="Times New Roman" w:cstheme="minorBidi"/>
                <w:color w:val="000000"/>
                <w:kern w:val="0"/>
                <w:sz w:val="22"/>
                <w:szCs w:val="22"/>
              </w:rPr>
              <w:t xml:space="preserve">1 </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2"/>
                <w:szCs w:val="22"/>
              </w:rPr>
            </w:pPr>
            <w:r>
              <w:rPr>
                <w:rFonts w:ascii="Times New Roman" w:hAnsi="Times New Roman" w:cstheme="minorBidi"/>
                <w:color w:val="000000"/>
                <w:kern w:val="0"/>
                <w:sz w:val="22"/>
                <w:szCs w:val="22"/>
              </w:rPr>
              <w:t xml:space="preserve">1560.00 </w:t>
            </w: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906"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2253"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r>
      <w:tr>
        <w:tblPrEx>
          <w:shd w:val="clear" w:color="auto" w:fill="auto"/>
          <w:tblCellMar>
            <w:top w:w="0" w:type="dxa"/>
            <w:left w:w="108" w:type="dxa"/>
            <w:bottom w:w="0" w:type="dxa"/>
            <w:right w:w="108" w:type="dxa"/>
          </w:tblCellMar>
        </w:tblPrEx>
        <w:trPr>
          <w:trHeight w:val="218" w:hRule="atLeast"/>
          <w:jc w:val="center"/>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县级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2"/>
                <w:szCs w:val="22"/>
              </w:rPr>
            </w:pPr>
            <w:r>
              <w:rPr>
                <w:rFonts w:ascii="Times New Roman" w:hAnsi="Times New Roman" w:cstheme="minorBidi"/>
                <w:color w:val="000000"/>
                <w:kern w:val="0"/>
                <w:sz w:val="22"/>
                <w:szCs w:val="22"/>
              </w:rPr>
              <w:t xml:space="preserve">8 </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2"/>
                <w:szCs w:val="22"/>
              </w:rPr>
            </w:pPr>
            <w:r>
              <w:rPr>
                <w:rFonts w:ascii="Times New Roman" w:hAnsi="Times New Roman" w:cstheme="minorBidi"/>
                <w:color w:val="000000"/>
                <w:kern w:val="0"/>
                <w:sz w:val="22"/>
                <w:szCs w:val="22"/>
              </w:rPr>
              <w:t xml:space="preserve">3066.90 </w:t>
            </w: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906"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2253"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r>
      <w:tr>
        <w:tblPrEx>
          <w:shd w:val="clear" w:color="auto" w:fill="auto"/>
          <w:tblCellMar>
            <w:top w:w="0" w:type="dxa"/>
            <w:left w:w="108" w:type="dxa"/>
            <w:bottom w:w="0" w:type="dxa"/>
            <w:right w:w="108" w:type="dxa"/>
          </w:tblCellMar>
        </w:tblPrEx>
        <w:trPr>
          <w:trHeight w:val="206" w:hRule="atLeast"/>
          <w:jc w:val="center"/>
        </w:trPr>
        <w:tc>
          <w:tcPr>
            <w:tcW w:w="14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地质公园</w:t>
            </w: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小计</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1</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2940</w:t>
            </w:r>
          </w:p>
        </w:tc>
        <w:tc>
          <w:tcPr>
            <w:tcW w:w="178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地质公园</w:t>
            </w:r>
          </w:p>
        </w:tc>
        <w:tc>
          <w:tcPr>
            <w:tcW w:w="11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小计</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r>
      <w:tr>
        <w:tblPrEx>
          <w:shd w:val="clear" w:color="auto" w:fill="auto"/>
          <w:tblCellMar>
            <w:top w:w="0" w:type="dxa"/>
            <w:left w:w="108" w:type="dxa"/>
            <w:bottom w:w="0" w:type="dxa"/>
            <w:right w:w="108" w:type="dxa"/>
          </w:tblCellMar>
        </w:tblPrEx>
        <w:trPr>
          <w:trHeight w:val="206" w:hRule="atLeast"/>
          <w:jc w:val="center"/>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国家级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国家级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r>
      <w:tr>
        <w:tblPrEx>
          <w:shd w:val="clear" w:color="auto" w:fill="auto"/>
          <w:tblCellMar>
            <w:top w:w="0" w:type="dxa"/>
            <w:left w:w="108" w:type="dxa"/>
            <w:bottom w:w="0" w:type="dxa"/>
            <w:right w:w="108" w:type="dxa"/>
          </w:tblCellMar>
        </w:tblPrEx>
        <w:trPr>
          <w:trHeight w:val="218" w:hRule="atLeast"/>
          <w:jc w:val="center"/>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省级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 xml:space="preserve">1 </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 xml:space="preserve">2940.00 </w:t>
            </w: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hint="eastAsia" w:ascii="Times New Roman" w:hAnsi="Times New Roman" w:cstheme="minorBidi"/>
                <w:color w:val="000000"/>
                <w:kern w:val="0"/>
                <w:sz w:val="21"/>
                <w:szCs w:val="21"/>
                <w:lang w:val="en-US" w:eastAsia="zh-CN"/>
              </w:rPr>
              <w:t>地方级</w:t>
            </w:r>
          </w:p>
        </w:tc>
        <w:tc>
          <w:tcPr>
            <w:tcW w:w="1906"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2253"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r>
      <w:tr>
        <w:tblPrEx>
          <w:shd w:val="clear" w:color="auto" w:fill="auto"/>
          <w:tblCellMar>
            <w:top w:w="0" w:type="dxa"/>
            <w:left w:w="108" w:type="dxa"/>
            <w:bottom w:w="0" w:type="dxa"/>
            <w:right w:w="108" w:type="dxa"/>
          </w:tblCellMar>
        </w:tblPrEx>
        <w:trPr>
          <w:trHeight w:val="206" w:hRule="atLeast"/>
          <w:jc w:val="center"/>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市级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906"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2253"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r>
      <w:tr>
        <w:tblPrEx>
          <w:shd w:val="clear" w:color="auto" w:fill="auto"/>
          <w:tblCellMar>
            <w:top w:w="0" w:type="dxa"/>
            <w:left w:w="108" w:type="dxa"/>
            <w:bottom w:w="0" w:type="dxa"/>
            <w:right w:w="108" w:type="dxa"/>
          </w:tblCellMar>
        </w:tblPrEx>
        <w:trPr>
          <w:trHeight w:val="206" w:hRule="atLeast"/>
          <w:jc w:val="center"/>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县级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906"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2253"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r>
      <w:tr>
        <w:tblPrEx>
          <w:shd w:val="clear" w:color="auto" w:fill="auto"/>
          <w:tblCellMar>
            <w:top w:w="0" w:type="dxa"/>
            <w:left w:w="108" w:type="dxa"/>
            <w:bottom w:w="0" w:type="dxa"/>
            <w:right w:w="108" w:type="dxa"/>
          </w:tblCellMar>
        </w:tblPrEx>
        <w:trPr>
          <w:trHeight w:val="206" w:hRule="atLeast"/>
          <w:jc w:val="center"/>
        </w:trPr>
        <w:tc>
          <w:tcPr>
            <w:tcW w:w="1472" w:type="dxa"/>
            <w:vMerge w:val="restart"/>
            <w:tcBorders>
              <w:top w:val="single" w:color="auto" w:sz="4" w:space="0"/>
              <w:left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湿地公园</w:t>
            </w: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小计</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4</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val="en-US" w:eastAsia="zh-CN"/>
              </w:rPr>
            </w:pPr>
            <w:r>
              <w:rPr>
                <w:rFonts w:ascii="Times New Roman" w:hAnsi="Times New Roman" w:cstheme="minorBidi"/>
                <w:color w:val="000000"/>
                <w:kern w:val="0"/>
                <w:sz w:val="21"/>
                <w:szCs w:val="21"/>
              </w:rPr>
              <w:t>1619.8</w:t>
            </w:r>
            <w:r>
              <w:rPr>
                <w:rFonts w:hint="eastAsia" w:cstheme="minorBidi"/>
                <w:color w:val="000000"/>
                <w:kern w:val="0"/>
                <w:sz w:val="21"/>
                <w:szCs w:val="21"/>
                <w:lang w:val="en-US" w:eastAsia="zh-CN"/>
              </w:rPr>
              <w:t>0</w:t>
            </w:r>
          </w:p>
        </w:tc>
        <w:tc>
          <w:tcPr>
            <w:tcW w:w="1789" w:type="dxa"/>
            <w:vMerge w:val="restart"/>
            <w:tcBorders>
              <w:top w:val="single" w:color="auto" w:sz="4" w:space="0"/>
              <w:left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湿地公园</w:t>
            </w:r>
          </w:p>
        </w:tc>
        <w:tc>
          <w:tcPr>
            <w:tcW w:w="11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小计</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2</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r>
      <w:tr>
        <w:tblPrEx>
          <w:shd w:val="clear" w:color="auto" w:fill="auto"/>
          <w:tblCellMar>
            <w:top w:w="0" w:type="dxa"/>
            <w:left w:w="108" w:type="dxa"/>
            <w:bottom w:w="0" w:type="dxa"/>
            <w:right w:w="108" w:type="dxa"/>
          </w:tblCellMar>
        </w:tblPrEx>
        <w:trPr>
          <w:trHeight w:val="206" w:hRule="atLeast"/>
          <w:jc w:val="center"/>
        </w:trPr>
        <w:tc>
          <w:tcPr>
            <w:tcW w:w="1472"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国家级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1789"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国家级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r>
      <w:tr>
        <w:tblPrEx>
          <w:shd w:val="clear" w:color="auto" w:fill="auto"/>
          <w:tblCellMar>
            <w:top w:w="0" w:type="dxa"/>
            <w:left w:w="108" w:type="dxa"/>
            <w:bottom w:w="0" w:type="dxa"/>
            <w:right w:w="108" w:type="dxa"/>
          </w:tblCellMar>
        </w:tblPrEx>
        <w:trPr>
          <w:trHeight w:val="206" w:hRule="atLeast"/>
          <w:jc w:val="center"/>
        </w:trPr>
        <w:tc>
          <w:tcPr>
            <w:tcW w:w="1472"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省级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ascii="Times New Roman" w:hAnsi="Times New Roman" w:cstheme="minorBidi"/>
                <w:color w:val="000000"/>
                <w:kern w:val="0"/>
                <w:sz w:val="21"/>
                <w:szCs w:val="21"/>
              </w:rPr>
              <w:t>—</w:t>
            </w:r>
          </w:p>
        </w:tc>
        <w:tc>
          <w:tcPr>
            <w:tcW w:w="1789"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rFonts w:hint="eastAsia" w:ascii="Times New Roman" w:hAnsi="Times New Roman" w:cstheme="minorBidi"/>
                <w:color w:val="000000"/>
                <w:kern w:val="0"/>
                <w:sz w:val="21"/>
                <w:szCs w:val="21"/>
                <w:lang w:val="en-US" w:eastAsia="zh-CN"/>
              </w:rPr>
              <w:t>地方级</w:t>
            </w:r>
          </w:p>
        </w:tc>
        <w:tc>
          <w:tcPr>
            <w:tcW w:w="1906"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eastAsia="zh-CN"/>
              </w:rPr>
            </w:pPr>
            <w:r>
              <w:rPr>
                <w:rFonts w:hint="eastAsia" w:ascii="Times New Roman" w:hAnsi="Times New Roman" w:cstheme="minorBidi"/>
                <w:color w:val="000000"/>
                <w:kern w:val="0"/>
                <w:sz w:val="21"/>
                <w:szCs w:val="21"/>
                <w:lang w:val="en-US" w:eastAsia="zh-CN"/>
              </w:rPr>
              <w:t>2</w:t>
            </w:r>
          </w:p>
        </w:tc>
        <w:tc>
          <w:tcPr>
            <w:tcW w:w="2253" w:type="dxa"/>
            <w:vMerge w:val="restart"/>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eastAsia="zh-CN"/>
              </w:rPr>
            </w:pPr>
            <w:r>
              <w:rPr>
                <w:rFonts w:hint="eastAsia" w:cstheme="minorBidi"/>
                <w:color w:val="000000"/>
                <w:kern w:val="0"/>
                <w:sz w:val="21"/>
                <w:szCs w:val="21"/>
                <w:lang w:eastAsia="zh-CN"/>
              </w:rPr>
              <w:t>477.72</w:t>
            </w:r>
          </w:p>
        </w:tc>
      </w:tr>
      <w:tr>
        <w:tblPrEx>
          <w:shd w:val="clear" w:color="auto" w:fill="auto"/>
          <w:tblCellMar>
            <w:top w:w="0" w:type="dxa"/>
            <w:left w:w="108" w:type="dxa"/>
            <w:bottom w:w="0" w:type="dxa"/>
            <w:right w:w="108" w:type="dxa"/>
          </w:tblCellMar>
        </w:tblPrEx>
        <w:trPr>
          <w:trHeight w:val="206" w:hRule="atLeast"/>
          <w:jc w:val="center"/>
        </w:trPr>
        <w:tc>
          <w:tcPr>
            <w:tcW w:w="1472"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color w:val="000000"/>
                <w:kern w:val="0"/>
                <w:sz w:val="21"/>
                <w:szCs w:val="21"/>
              </w:rPr>
              <w:t>市级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color w:val="000000"/>
                <w:kern w:val="0"/>
                <w:sz w:val="21"/>
                <w:szCs w:val="21"/>
              </w:rPr>
              <w:t xml:space="preserve">1 </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color w:val="000000"/>
                <w:kern w:val="0"/>
                <w:sz w:val="21"/>
                <w:szCs w:val="21"/>
              </w:rPr>
              <w:t xml:space="preserve">21.40 </w:t>
            </w:r>
          </w:p>
        </w:tc>
        <w:tc>
          <w:tcPr>
            <w:tcW w:w="1789"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cstheme="minorBidi"/>
                <w:color w:val="000000"/>
                <w:kern w:val="0"/>
                <w:sz w:val="21"/>
                <w:szCs w:val="21"/>
                <w:lang w:val="en-US" w:eastAsia="zh-CN"/>
              </w:rPr>
            </w:pPr>
          </w:p>
        </w:tc>
        <w:tc>
          <w:tcPr>
            <w:tcW w:w="1906"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cstheme="minorBidi"/>
                <w:color w:val="000000"/>
                <w:kern w:val="0"/>
                <w:sz w:val="21"/>
                <w:szCs w:val="21"/>
                <w:lang w:val="en-US" w:eastAsia="zh-CN"/>
              </w:rPr>
            </w:pPr>
          </w:p>
        </w:tc>
        <w:tc>
          <w:tcPr>
            <w:tcW w:w="2253" w:type="dxa"/>
            <w:vMerge w:val="continue"/>
            <w:tcBorders>
              <w:left w:val="nil"/>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r>
      <w:tr>
        <w:tblPrEx>
          <w:shd w:val="clear" w:color="auto" w:fill="auto"/>
          <w:tblCellMar>
            <w:top w:w="0" w:type="dxa"/>
            <w:left w:w="108" w:type="dxa"/>
            <w:bottom w:w="0" w:type="dxa"/>
            <w:right w:w="108" w:type="dxa"/>
          </w:tblCellMar>
        </w:tblPrEx>
        <w:trPr>
          <w:trHeight w:val="206" w:hRule="atLeast"/>
          <w:jc w:val="center"/>
        </w:trPr>
        <w:tc>
          <w:tcPr>
            <w:tcW w:w="1472"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color w:val="000000"/>
                <w:kern w:val="0"/>
                <w:sz w:val="21"/>
                <w:szCs w:val="21"/>
              </w:rPr>
              <w:t>县级</w:t>
            </w: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color w:val="000000"/>
                <w:kern w:val="0"/>
                <w:sz w:val="21"/>
                <w:szCs w:val="21"/>
              </w:rPr>
              <w:t xml:space="preserve">3 </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color w:val="000000"/>
                <w:kern w:val="0"/>
                <w:sz w:val="21"/>
                <w:szCs w:val="21"/>
              </w:rPr>
              <w:t xml:space="preserve">1598.40 </w:t>
            </w:r>
          </w:p>
        </w:tc>
        <w:tc>
          <w:tcPr>
            <w:tcW w:w="1789"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cstheme="minorBidi"/>
                <w:color w:val="000000"/>
                <w:kern w:val="0"/>
                <w:sz w:val="21"/>
                <w:szCs w:val="21"/>
                <w:lang w:val="en-US" w:eastAsia="zh-CN"/>
              </w:rPr>
            </w:pPr>
          </w:p>
        </w:tc>
        <w:tc>
          <w:tcPr>
            <w:tcW w:w="1906"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cstheme="minorBidi"/>
                <w:color w:val="000000"/>
                <w:kern w:val="0"/>
                <w:sz w:val="21"/>
                <w:szCs w:val="21"/>
                <w:lang w:val="en-US" w:eastAsia="zh-CN"/>
              </w:rPr>
            </w:pPr>
          </w:p>
        </w:tc>
        <w:tc>
          <w:tcPr>
            <w:tcW w:w="2253"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r>
      <w:tr>
        <w:tblPrEx>
          <w:tblCellMar>
            <w:top w:w="0" w:type="dxa"/>
            <w:left w:w="108" w:type="dxa"/>
            <w:bottom w:w="0" w:type="dxa"/>
            <w:right w:w="108" w:type="dxa"/>
          </w:tblCellMar>
        </w:tblPrEx>
        <w:trPr>
          <w:trHeight w:val="206" w:hRule="atLeast"/>
          <w:jc w:val="center"/>
        </w:trPr>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val="en-US" w:eastAsia="zh-CN"/>
              </w:rPr>
            </w:pPr>
            <w:r>
              <w:rPr>
                <w:rFonts w:hint="eastAsia" w:ascii="Times New Roman" w:hAnsi="Times New Roman" w:cstheme="minorBidi"/>
                <w:color w:val="000000"/>
                <w:kern w:val="0"/>
                <w:sz w:val="21"/>
                <w:szCs w:val="21"/>
                <w:lang w:val="en-US" w:eastAsia="zh-CN"/>
              </w:rPr>
              <w:t>合计</w:t>
            </w: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color w:val="000000"/>
                <w:kern w:val="0"/>
                <w:sz w:val="21"/>
                <w:szCs w:val="21"/>
              </w:rPr>
              <w:t>23</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heme="minorBidi"/>
                <w:color w:val="000000"/>
                <w:kern w:val="0"/>
                <w:sz w:val="21"/>
                <w:szCs w:val="21"/>
              </w:rPr>
            </w:pPr>
            <w:r>
              <w:rPr>
                <w:color w:val="000000"/>
                <w:kern w:val="0"/>
                <w:sz w:val="21"/>
                <w:szCs w:val="21"/>
              </w:rPr>
              <w:t>46493.59</w:t>
            </w:r>
          </w:p>
        </w:tc>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heme="minorBidi"/>
                <w:color w:val="000000"/>
                <w:kern w:val="0"/>
                <w:sz w:val="21"/>
                <w:szCs w:val="21"/>
              </w:rPr>
            </w:pPr>
          </w:p>
        </w:tc>
        <w:tc>
          <w:tcPr>
            <w:tcW w:w="11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cstheme="minorBidi"/>
                <w:color w:val="000000"/>
                <w:kern w:val="0"/>
                <w:sz w:val="21"/>
                <w:szCs w:val="21"/>
                <w:lang w:val="en-US" w:eastAsia="zh-CN"/>
              </w:rPr>
            </w:pPr>
          </w:p>
        </w:tc>
        <w:tc>
          <w:tcPr>
            <w:tcW w:w="190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heme="minorBidi"/>
                <w:color w:val="000000"/>
                <w:kern w:val="0"/>
                <w:sz w:val="21"/>
                <w:szCs w:val="21"/>
                <w:lang w:val="en-US" w:eastAsia="zh-CN"/>
              </w:rPr>
            </w:pPr>
            <w:r>
              <w:rPr>
                <w:rFonts w:hint="eastAsia" w:ascii="Times New Roman" w:hAnsi="Times New Roman" w:cstheme="minorBidi"/>
                <w:color w:val="000000"/>
                <w:kern w:val="0"/>
                <w:sz w:val="21"/>
                <w:szCs w:val="21"/>
                <w:lang w:val="en-US" w:eastAsia="zh-CN"/>
              </w:rPr>
              <w:t>19</w:t>
            </w:r>
          </w:p>
        </w:tc>
        <w:tc>
          <w:tcPr>
            <w:tcW w:w="225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imes New Roman" w:hAnsi="Times New Roman" w:eastAsia="仿宋_GB2312" w:cstheme="minorBidi"/>
                <w:color w:val="000000"/>
                <w:kern w:val="0"/>
                <w:sz w:val="21"/>
                <w:szCs w:val="21"/>
                <w:lang w:eastAsia="zh-CN"/>
              </w:rPr>
            </w:pPr>
            <w:r>
              <w:rPr>
                <w:rFonts w:hint="eastAsia" w:cstheme="minorBidi"/>
                <w:color w:val="000000"/>
                <w:kern w:val="0"/>
                <w:sz w:val="21"/>
                <w:szCs w:val="21"/>
                <w:lang w:eastAsia="zh-CN"/>
              </w:rPr>
              <w:t>48298.33</w:t>
            </w:r>
          </w:p>
        </w:tc>
      </w:tr>
    </w:tbl>
    <w:p>
      <w:pPr>
        <w:spacing w:line="500" w:lineRule="atLeast"/>
        <w:ind w:left="0" w:leftChars="0" w:firstLine="0" w:firstLineChars="0"/>
        <w:rPr>
          <w:rFonts w:hint="eastAsia" w:ascii="仿宋" w:hAnsi="仿宋" w:eastAsia="仿宋"/>
          <w:b/>
          <w:bCs/>
        </w:rPr>
      </w:pPr>
    </w:p>
    <w:sectPr>
      <w:pgSz w:w="16838" w:h="11906" w:orient="landscape"/>
      <w:pgMar w:top="1588" w:right="2098" w:bottom="1588" w:left="1985" w:header="0" w:footer="998" w:gutter="0"/>
      <w:cols w:space="425"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CF3873-E330-4048-9FFC-0B740AE31FF4}"/>
  </w:font>
  <w:font w:name="Arial">
    <w:panose1 w:val="020B0604020202020204"/>
    <w:charset w:val="01"/>
    <w:family w:val="swiss"/>
    <w:pitch w:val="default"/>
    <w:sig w:usb0="E0002EFF" w:usb1="C000785B" w:usb2="00000009" w:usb3="00000000" w:csb0="400001FF" w:csb1="FFFF0000"/>
    <w:embedRegular r:id="rId2" w:fontKey="{9B3E57EA-815A-4B4B-8704-DE9C6FB844C9}"/>
  </w:font>
  <w:font w:name="黑体">
    <w:panose1 w:val="02010609060101010101"/>
    <w:charset w:val="86"/>
    <w:family w:val="auto"/>
    <w:pitch w:val="default"/>
    <w:sig w:usb0="800002BF" w:usb1="38CF7CFA" w:usb2="00000016" w:usb3="00000000" w:csb0="00040001" w:csb1="00000000"/>
    <w:embedRegular r:id="rId3" w:fontKey="{0B3793CE-4BF7-4E19-8EC2-3BD9DBCBFE48}"/>
  </w:font>
  <w:font w:name="Courier New">
    <w:panose1 w:val="02070309020205020404"/>
    <w:charset w:val="01"/>
    <w:family w:val="modern"/>
    <w:pitch w:val="default"/>
    <w:sig w:usb0="E0002EFF" w:usb1="C0007843" w:usb2="00000009" w:usb3="00000000" w:csb0="400001FF" w:csb1="FFFF0000"/>
    <w:embedRegular r:id="rId4" w:fontKey="{486F8227-F881-42BC-BB4D-BB714B2217DA}"/>
  </w:font>
  <w:font w:name="Symbol">
    <w:panose1 w:val="05050102010706020507"/>
    <w:charset w:val="02"/>
    <w:family w:val="roman"/>
    <w:pitch w:val="default"/>
    <w:sig w:usb0="00000000" w:usb1="00000000" w:usb2="00000000" w:usb3="00000000" w:csb0="80000000" w:csb1="00000000"/>
    <w:embedRegular r:id="rId5" w:fontKey="{F2064202-F40E-462B-9234-41188DAEDA8D}"/>
  </w:font>
  <w:font w:name="Calibri">
    <w:panose1 w:val="020F0502020204030204"/>
    <w:charset w:val="00"/>
    <w:family w:val="swiss"/>
    <w:pitch w:val="default"/>
    <w:sig w:usb0="E4002EFF" w:usb1="C000247B" w:usb2="00000009" w:usb3="00000000" w:csb0="200001FF" w:csb1="00000000"/>
    <w:embedRegular r:id="rId6" w:fontKey="{2591758C-48E6-468A-896D-C8C3C40BE930}"/>
  </w:font>
  <w:font w:name="仿宋_GB2312">
    <w:panose1 w:val="02010609030101010101"/>
    <w:charset w:val="86"/>
    <w:family w:val="auto"/>
    <w:pitch w:val="default"/>
    <w:sig w:usb0="00000001" w:usb1="080E0000" w:usb2="00000000" w:usb3="00000000" w:csb0="00040000" w:csb1="00000000"/>
    <w:embedRegular r:id="rId7" w:fontKey="{A554EDD8-719C-4F40-80B2-7D9AB0EFED20}"/>
  </w:font>
  <w:font w:name="仿宋">
    <w:panose1 w:val="02010609060101010101"/>
    <w:charset w:val="86"/>
    <w:family w:val="auto"/>
    <w:pitch w:val="default"/>
    <w:sig w:usb0="800002BF" w:usb1="38CF7CFA" w:usb2="00000016" w:usb3="00000000" w:csb0="00040001" w:csb1="00000000"/>
    <w:embedRegular r:id="rId8" w:fontKey="{C314C2E3-FBB5-446E-9BA6-6143DFE264B3}"/>
  </w:font>
  <w:font w:name="楷体">
    <w:panose1 w:val="02010609060101010101"/>
    <w:charset w:val="86"/>
    <w:family w:val="modern"/>
    <w:pitch w:val="default"/>
    <w:sig w:usb0="800002BF" w:usb1="38CF7CFA" w:usb2="00000016" w:usb3="00000000" w:csb0="00040001" w:csb1="00000000"/>
    <w:embedRegular r:id="rId9" w:fontKey="{622ECF20-12DA-4665-B735-4BF36C2F6DFD}"/>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10" w:fontKey="{4536B209-C909-4FD7-A9EC-3FB32BCFDD2A}"/>
  </w:font>
  <w:font w:name="方正楷体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00000" w:usb3="00000000" w:csb0="00040000" w:csb1="00000000"/>
    <w:embedRegular r:id="rId11" w:fontKey="{AD0EE77F-3574-4BE6-B9FA-8EDEE2DF3825}"/>
  </w:font>
  <w:font w:name="方正小标宋简体">
    <w:panose1 w:val="02010601030101010101"/>
    <w:charset w:val="86"/>
    <w:family w:val="auto"/>
    <w:pitch w:val="default"/>
    <w:sig w:usb0="00000001" w:usb1="080E0000" w:usb2="00000000" w:usb3="00000000" w:csb0="00040000" w:csb1="00000000"/>
  </w:font>
  <w:font w:name="方正仿宋_GBK">
    <w:altName w:val="微软雅黑"/>
    <w:panose1 w:val="02000000000000000000"/>
    <w:charset w:val="86"/>
    <w:family w:val="script"/>
    <w:pitch w:val="default"/>
    <w:sig w:usb0="00000000" w:usb1="00000000" w:usb2="00000000" w:usb3="00000000" w:csb0="00040000" w:csb1="00000000"/>
    <w:embedRegular r:id="rId12" w:fontKey="{D0E6CDE9-9F27-4247-8929-1F55AF3D167B}"/>
  </w:font>
  <w:font w:name="华文仿宋">
    <w:panose1 w:val="02010600040101010101"/>
    <w:charset w:val="86"/>
    <w:family w:val="auto"/>
    <w:pitch w:val="default"/>
    <w:sig w:usb0="00000287" w:usb1="080F0000" w:usb2="00000000" w:usb3="00000000" w:csb0="0004009F" w:csb1="DFD70000"/>
    <w:embedRegular r:id="rId13" w:fontKey="{C784F5A8-216D-4C2E-854F-6E94B0B1AB2E}"/>
  </w:font>
  <w:font w:name="Tahoma">
    <w:panose1 w:val="020B0604030504040204"/>
    <w:charset w:val="00"/>
    <w:family w:val="auto"/>
    <w:pitch w:val="default"/>
    <w:sig w:usb0="E1002EFF" w:usb1="C000605B" w:usb2="00000029" w:usb3="00000000" w:csb0="200101FF" w:csb1="20280000"/>
    <w:embedRegular r:id="rId14" w:fontKey="{85DBB962-03C8-4FA7-9ABA-18563CC3FD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423287"/>
    </w:sdtPr>
    <w:sdtContent>
      <w:p>
        <w:pPr>
          <w:pStyle w:val="11"/>
          <w:jc w:val="center"/>
        </w:pPr>
        <w:r>
          <w:fldChar w:fldCharType="begin"/>
        </w:r>
        <w:r>
          <w:instrText xml:space="preserve">PAGE   \* MERGEFORMAT</w:instrText>
        </w:r>
        <w:r>
          <w:fldChar w:fldCharType="separate"/>
        </w:r>
        <w:r>
          <w:rPr>
            <w:lang w:val="zh-CN"/>
          </w:rPr>
          <w:t>i</w:t>
        </w:r>
        <w:r>
          <w:fldChar w:fldCharType="end"/>
        </w: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1"/>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firstLine="420" w:firstLineChars="200"/>
      <w:jc w:val="center"/>
      <w:rPr>
        <w:rFonts w:ascii="Times New Roman" w:hAnsi="Times New Roman" w:eastAsia="仿宋_GB2312" w:cstheme="minorBidi"/>
        <w:kern w:val="2"/>
        <w:sz w:val="21"/>
        <w:szCs w:val="21"/>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wODM0YTc4NGUwNTA4OGQ1YTJiNzhiNjVkMjViOGQifQ=="/>
    <w:docVar w:name="KSO_WPS_MARK_KEY" w:val="ede6e27f-036f-4c68-afa6-45d55eab27a7"/>
  </w:docVars>
  <w:rsids>
    <w:rsidRoot w:val="001A7598"/>
    <w:rsid w:val="00000188"/>
    <w:rsid w:val="00001F5E"/>
    <w:rsid w:val="000107E3"/>
    <w:rsid w:val="00020244"/>
    <w:rsid w:val="000213E2"/>
    <w:rsid w:val="0002187F"/>
    <w:rsid w:val="00022AC3"/>
    <w:rsid w:val="0002468E"/>
    <w:rsid w:val="00024C54"/>
    <w:rsid w:val="0002699C"/>
    <w:rsid w:val="00027C20"/>
    <w:rsid w:val="0003332E"/>
    <w:rsid w:val="00034170"/>
    <w:rsid w:val="00034AB7"/>
    <w:rsid w:val="00044276"/>
    <w:rsid w:val="00044647"/>
    <w:rsid w:val="00044B8A"/>
    <w:rsid w:val="00054ACC"/>
    <w:rsid w:val="00055AD4"/>
    <w:rsid w:val="00055B74"/>
    <w:rsid w:val="00055C65"/>
    <w:rsid w:val="00056D4D"/>
    <w:rsid w:val="00065AD1"/>
    <w:rsid w:val="00067B2B"/>
    <w:rsid w:val="00070648"/>
    <w:rsid w:val="00070ABC"/>
    <w:rsid w:val="00076246"/>
    <w:rsid w:val="00077562"/>
    <w:rsid w:val="0008154E"/>
    <w:rsid w:val="000819FF"/>
    <w:rsid w:val="00081DE4"/>
    <w:rsid w:val="000834CB"/>
    <w:rsid w:val="000852E6"/>
    <w:rsid w:val="00085B12"/>
    <w:rsid w:val="00085EC5"/>
    <w:rsid w:val="00090FBA"/>
    <w:rsid w:val="000934C9"/>
    <w:rsid w:val="00094E25"/>
    <w:rsid w:val="000A10C4"/>
    <w:rsid w:val="000A1E2D"/>
    <w:rsid w:val="000A27BF"/>
    <w:rsid w:val="000A34C3"/>
    <w:rsid w:val="000A4881"/>
    <w:rsid w:val="000A534C"/>
    <w:rsid w:val="000A73A4"/>
    <w:rsid w:val="000B0D97"/>
    <w:rsid w:val="000B2881"/>
    <w:rsid w:val="000B413E"/>
    <w:rsid w:val="000B46D9"/>
    <w:rsid w:val="000B672A"/>
    <w:rsid w:val="000C117F"/>
    <w:rsid w:val="000C1C12"/>
    <w:rsid w:val="000C371D"/>
    <w:rsid w:val="000C67AF"/>
    <w:rsid w:val="000D4230"/>
    <w:rsid w:val="000D603E"/>
    <w:rsid w:val="000E04D0"/>
    <w:rsid w:val="000E133D"/>
    <w:rsid w:val="000E4731"/>
    <w:rsid w:val="000E4CFC"/>
    <w:rsid w:val="000E5596"/>
    <w:rsid w:val="000E78ED"/>
    <w:rsid w:val="000F273E"/>
    <w:rsid w:val="000F35DE"/>
    <w:rsid w:val="000F3818"/>
    <w:rsid w:val="000F3DBB"/>
    <w:rsid w:val="000F4D0E"/>
    <w:rsid w:val="000F67C3"/>
    <w:rsid w:val="000F77B9"/>
    <w:rsid w:val="000F79A6"/>
    <w:rsid w:val="00103724"/>
    <w:rsid w:val="00103C1C"/>
    <w:rsid w:val="00103C28"/>
    <w:rsid w:val="00105AC4"/>
    <w:rsid w:val="00107028"/>
    <w:rsid w:val="00110748"/>
    <w:rsid w:val="00110F61"/>
    <w:rsid w:val="0011377A"/>
    <w:rsid w:val="00113AD7"/>
    <w:rsid w:val="00113E71"/>
    <w:rsid w:val="00116154"/>
    <w:rsid w:val="001169AE"/>
    <w:rsid w:val="00120C35"/>
    <w:rsid w:val="00122493"/>
    <w:rsid w:val="00123C40"/>
    <w:rsid w:val="00126BD2"/>
    <w:rsid w:val="001270D0"/>
    <w:rsid w:val="001350FA"/>
    <w:rsid w:val="0013676D"/>
    <w:rsid w:val="00136A77"/>
    <w:rsid w:val="00137C88"/>
    <w:rsid w:val="0014015E"/>
    <w:rsid w:val="00140B84"/>
    <w:rsid w:val="00140BAB"/>
    <w:rsid w:val="00141513"/>
    <w:rsid w:val="00142D3D"/>
    <w:rsid w:val="00144E61"/>
    <w:rsid w:val="001468F6"/>
    <w:rsid w:val="00147682"/>
    <w:rsid w:val="00150FEE"/>
    <w:rsid w:val="00153126"/>
    <w:rsid w:val="001555BD"/>
    <w:rsid w:val="001605DA"/>
    <w:rsid w:val="00162D71"/>
    <w:rsid w:val="00166EAD"/>
    <w:rsid w:val="0016757D"/>
    <w:rsid w:val="001728A0"/>
    <w:rsid w:val="00172989"/>
    <w:rsid w:val="001741FF"/>
    <w:rsid w:val="00175013"/>
    <w:rsid w:val="00176171"/>
    <w:rsid w:val="0018433D"/>
    <w:rsid w:val="00187112"/>
    <w:rsid w:val="0019037F"/>
    <w:rsid w:val="0019517A"/>
    <w:rsid w:val="00195B35"/>
    <w:rsid w:val="00196451"/>
    <w:rsid w:val="001A0FE2"/>
    <w:rsid w:val="001A1745"/>
    <w:rsid w:val="001A4004"/>
    <w:rsid w:val="001A513F"/>
    <w:rsid w:val="001A561F"/>
    <w:rsid w:val="001A6A22"/>
    <w:rsid w:val="001A7598"/>
    <w:rsid w:val="001B1D8D"/>
    <w:rsid w:val="001B1D9B"/>
    <w:rsid w:val="001B43A2"/>
    <w:rsid w:val="001C3FC3"/>
    <w:rsid w:val="001C5786"/>
    <w:rsid w:val="001C60AE"/>
    <w:rsid w:val="001D0597"/>
    <w:rsid w:val="001D0C70"/>
    <w:rsid w:val="001D156A"/>
    <w:rsid w:val="001D1737"/>
    <w:rsid w:val="001D27D1"/>
    <w:rsid w:val="001D333C"/>
    <w:rsid w:val="001D534D"/>
    <w:rsid w:val="001D627F"/>
    <w:rsid w:val="001E0224"/>
    <w:rsid w:val="001E0E9F"/>
    <w:rsid w:val="001E4F3C"/>
    <w:rsid w:val="001E56ED"/>
    <w:rsid w:val="001F1FC5"/>
    <w:rsid w:val="001F39A1"/>
    <w:rsid w:val="001F405D"/>
    <w:rsid w:val="001F57E8"/>
    <w:rsid w:val="001F65FE"/>
    <w:rsid w:val="001F6BC8"/>
    <w:rsid w:val="002008B7"/>
    <w:rsid w:val="002021AF"/>
    <w:rsid w:val="00205014"/>
    <w:rsid w:val="00205E3F"/>
    <w:rsid w:val="002078F0"/>
    <w:rsid w:val="00210D0A"/>
    <w:rsid w:val="0021296F"/>
    <w:rsid w:val="0021318F"/>
    <w:rsid w:val="0021427F"/>
    <w:rsid w:val="00214D5C"/>
    <w:rsid w:val="0021528A"/>
    <w:rsid w:val="00217D5A"/>
    <w:rsid w:val="00217F39"/>
    <w:rsid w:val="002218A0"/>
    <w:rsid w:val="002237FF"/>
    <w:rsid w:val="00226A6B"/>
    <w:rsid w:val="0023182D"/>
    <w:rsid w:val="00231FD9"/>
    <w:rsid w:val="002332BC"/>
    <w:rsid w:val="002348D1"/>
    <w:rsid w:val="002351C0"/>
    <w:rsid w:val="002358A9"/>
    <w:rsid w:val="0023623E"/>
    <w:rsid w:val="002362B4"/>
    <w:rsid w:val="00241DAF"/>
    <w:rsid w:val="00246681"/>
    <w:rsid w:val="00251250"/>
    <w:rsid w:val="00252671"/>
    <w:rsid w:val="00252CE5"/>
    <w:rsid w:val="00256252"/>
    <w:rsid w:val="00256B7E"/>
    <w:rsid w:val="00263E4A"/>
    <w:rsid w:val="0026403C"/>
    <w:rsid w:val="002644EA"/>
    <w:rsid w:val="002647B5"/>
    <w:rsid w:val="00265D1A"/>
    <w:rsid w:val="0026655F"/>
    <w:rsid w:val="0026728F"/>
    <w:rsid w:val="0027350E"/>
    <w:rsid w:val="00273EF8"/>
    <w:rsid w:val="0027418C"/>
    <w:rsid w:val="002752BC"/>
    <w:rsid w:val="002752CE"/>
    <w:rsid w:val="00280D38"/>
    <w:rsid w:val="0028231D"/>
    <w:rsid w:val="002838D3"/>
    <w:rsid w:val="0028430D"/>
    <w:rsid w:val="0028470B"/>
    <w:rsid w:val="0028664D"/>
    <w:rsid w:val="0028721B"/>
    <w:rsid w:val="00290199"/>
    <w:rsid w:val="002938EB"/>
    <w:rsid w:val="002A1455"/>
    <w:rsid w:val="002A187B"/>
    <w:rsid w:val="002A4B3A"/>
    <w:rsid w:val="002A63EF"/>
    <w:rsid w:val="002B0345"/>
    <w:rsid w:val="002B0FDE"/>
    <w:rsid w:val="002B2D21"/>
    <w:rsid w:val="002B49C8"/>
    <w:rsid w:val="002B56CA"/>
    <w:rsid w:val="002B5DAC"/>
    <w:rsid w:val="002B75CA"/>
    <w:rsid w:val="002B7FE3"/>
    <w:rsid w:val="002C0907"/>
    <w:rsid w:val="002C154E"/>
    <w:rsid w:val="002C1690"/>
    <w:rsid w:val="002C2243"/>
    <w:rsid w:val="002C2C66"/>
    <w:rsid w:val="002C3336"/>
    <w:rsid w:val="002C6F7C"/>
    <w:rsid w:val="002C7758"/>
    <w:rsid w:val="002D535D"/>
    <w:rsid w:val="002D5CE5"/>
    <w:rsid w:val="002E32CA"/>
    <w:rsid w:val="002E52F2"/>
    <w:rsid w:val="002F3EB6"/>
    <w:rsid w:val="002F3F6B"/>
    <w:rsid w:val="00300A36"/>
    <w:rsid w:val="00304575"/>
    <w:rsid w:val="00305870"/>
    <w:rsid w:val="00305CA0"/>
    <w:rsid w:val="00307C21"/>
    <w:rsid w:val="00307CE9"/>
    <w:rsid w:val="003111B1"/>
    <w:rsid w:val="00312FDC"/>
    <w:rsid w:val="003156CE"/>
    <w:rsid w:val="0032259C"/>
    <w:rsid w:val="00323DCB"/>
    <w:rsid w:val="003256F5"/>
    <w:rsid w:val="00325B06"/>
    <w:rsid w:val="00327655"/>
    <w:rsid w:val="00327A84"/>
    <w:rsid w:val="00330279"/>
    <w:rsid w:val="0033287D"/>
    <w:rsid w:val="003372AC"/>
    <w:rsid w:val="0034014D"/>
    <w:rsid w:val="00343BF8"/>
    <w:rsid w:val="003452F0"/>
    <w:rsid w:val="003453FA"/>
    <w:rsid w:val="003479BD"/>
    <w:rsid w:val="00347EAD"/>
    <w:rsid w:val="0035396D"/>
    <w:rsid w:val="0035717E"/>
    <w:rsid w:val="00362676"/>
    <w:rsid w:val="00374ADA"/>
    <w:rsid w:val="00374C24"/>
    <w:rsid w:val="00374E0F"/>
    <w:rsid w:val="003767DD"/>
    <w:rsid w:val="003776F5"/>
    <w:rsid w:val="00377786"/>
    <w:rsid w:val="003802CA"/>
    <w:rsid w:val="00382FF7"/>
    <w:rsid w:val="0039141B"/>
    <w:rsid w:val="00391C84"/>
    <w:rsid w:val="00394A48"/>
    <w:rsid w:val="00395908"/>
    <w:rsid w:val="00396C7C"/>
    <w:rsid w:val="003A246A"/>
    <w:rsid w:val="003A2DED"/>
    <w:rsid w:val="003A498C"/>
    <w:rsid w:val="003A4E03"/>
    <w:rsid w:val="003A7943"/>
    <w:rsid w:val="003B144D"/>
    <w:rsid w:val="003B14A6"/>
    <w:rsid w:val="003B1C45"/>
    <w:rsid w:val="003B220F"/>
    <w:rsid w:val="003B2EC2"/>
    <w:rsid w:val="003B454B"/>
    <w:rsid w:val="003B47EB"/>
    <w:rsid w:val="003B6C7B"/>
    <w:rsid w:val="003B7521"/>
    <w:rsid w:val="003C0950"/>
    <w:rsid w:val="003C145A"/>
    <w:rsid w:val="003C2C8E"/>
    <w:rsid w:val="003D4D42"/>
    <w:rsid w:val="003D597F"/>
    <w:rsid w:val="003D59D5"/>
    <w:rsid w:val="003D5D4C"/>
    <w:rsid w:val="003D5D6E"/>
    <w:rsid w:val="003D6072"/>
    <w:rsid w:val="003D61B6"/>
    <w:rsid w:val="003D658C"/>
    <w:rsid w:val="003D67B2"/>
    <w:rsid w:val="003E4967"/>
    <w:rsid w:val="003E5676"/>
    <w:rsid w:val="003E6CCA"/>
    <w:rsid w:val="003E743D"/>
    <w:rsid w:val="003E77E8"/>
    <w:rsid w:val="003F05FC"/>
    <w:rsid w:val="003F0BF4"/>
    <w:rsid w:val="003F14A6"/>
    <w:rsid w:val="003F2FD8"/>
    <w:rsid w:val="003F38FB"/>
    <w:rsid w:val="003F4A92"/>
    <w:rsid w:val="003F50C1"/>
    <w:rsid w:val="0040063E"/>
    <w:rsid w:val="004014EC"/>
    <w:rsid w:val="004032DB"/>
    <w:rsid w:val="00405173"/>
    <w:rsid w:val="00407E49"/>
    <w:rsid w:val="00413109"/>
    <w:rsid w:val="0041413A"/>
    <w:rsid w:val="00414303"/>
    <w:rsid w:val="004201BA"/>
    <w:rsid w:val="004221F3"/>
    <w:rsid w:val="004229CF"/>
    <w:rsid w:val="00422A2D"/>
    <w:rsid w:val="004257C6"/>
    <w:rsid w:val="004300ED"/>
    <w:rsid w:val="00430461"/>
    <w:rsid w:val="004333C3"/>
    <w:rsid w:val="00434B4D"/>
    <w:rsid w:val="004362C5"/>
    <w:rsid w:val="0043664F"/>
    <w:rsid w:val="004367E3"/>
    <w:rsid w:val="004376A2"/>
    <w:rsid w:val="00440AC1"/>
    <w:rsid w:val="004435D6"/>
    <w:rsid w:val="0044401A"/>
    <w:rsid w:val="00451C57"/>
    <w:rsid w:val="00455279"/>
    <w:rsid w:val="0046038F"/>
    <w:rsid w:val="00461285"/>
    <w:rsid w:val="00461552"/>
    <w:rsid w:val="004642DC"/>
    <w:rsid w:val="00466207"/>
    <w:rsid w:val="004678AA"/>
    <w:rsid w:val="00471DC4"/>
    <w:rsid w:val="00472113"/>
    <w:rsid w:val="0047242C"/>
    <w:rsid w:val="004727FA"/>
    <w:rsid w:val="00472F97"/>
    <w:rsid w:val="00473A47"/>
    <w:rsid w:val="00475C8C"/>
    <w:rsid w:val="0047623C"/>
    <w:rsid w:val="004768DD"/>
    <w:rsid w:val="00481A09"/>
    <w:rsid w:val="00484B4B"/>
    <w:rsid w:val="00485758"/>
    <w:rsid w:val="004864D1"/>
    <w:rsid w:val="004920DF"/>
    <w:rsid w:val="00493306"/>
    <w:rsid w:val="004A0BCA"/>
    <w:rsid w:val="004A3221"/>
    <w:rsid w:val="004A5C5F"/>
    <w:rsid w:val="004B5949"/>
    <w:rsid w:val="004B5AA5"/>
    <w:rsid w:val="004B725C"/>
    <w:rsid w:val="004C2A85"/>
    <w:rsid w:val="004C2FE1"/>
    <w:rsid w:val="004C3570"/>
    <w:rsid w:val="004C4F67"/>
    <w:rsid w:val="004C6A92"/>
    <w:rsid w:val="004C7FA0"/>
    <w:rsid w:val="004C7FDF"/>
    <w:rsid w:val="004D65C5"/>
    <w:rsid w:val="004D6ABF"/>
    <w:rsid w:val="004D6B96"/>
    <w:rsid w:val="004D6D5E"/>
    <w:rsid w:val="004D75E0"/>
    <w:rsid w:val="004D792C"/>
    <w:rsid w:val="004E011B"/>
    <w:rsid w:val="004E020D"/>
    <w:rsid w:val="004E19AB"/>
    <w:rsid w:val="004E424A"/>
    <w:rsid w:val="004E7026"/>
    <w:rsid w:val="004E7384"/>
    <w:rsid w:val="004E7487"/>
    <w:rsid w:val="004F169B"/>
    <w:rsid w:val="004F16F4"/>
    <w:rsid w:val="004F3EBC"/>
    <w:rsid w:val="004F411C"/>
    <w:rsid w:val="004F4D04"/>
    <w:rsid w:val="004F504D"/>
    <w:rsid w:val="004F568F"/>
    <w:rsid w:val="004F7905"/>
    <w:rsid w:val="00500C1B"/>
    <w:rsid w:val="00501515"/>
    <w:rsid w:val="0050203C"/>
    <w:rsid w:val="00504104"/>
    <w:rsid w:val="005042D2"/>
    <w:rsid w:val="005048F2"/>
    <w:rsid w:val="00504924"/>
    <w:rsid w:val="00504B61"/>
    <w:rsid w:val="00506A76"/>
    <w:rsid w:val="00506CF1"/>
    <w:rsid w:val="0050716A"/>
    <w:rsid w:val="00511137"/>
    <w:rsid w:val="005126E7"/>
    <w:rsid w:val="00521663"/>
    <w:rsid w:val="005217F0"/>
    <w:rsid w:val="00522A37"/>
    <w:rsid w:val="005236FD"/>
    <w:rsid w:val="00535DAE"/>
    <w:rsid w:val="005419EB"/>
    <w:rsid w:val="0055089E"/>
    <w:rsid w:val="00554546"/>
    <w:rsid w:val="00556837"/>
    <w:rsid w:val="005606F9"/>
    <w:rsid w:val="00561146"/>
    <w:rsid w:val="00563D2D"/>
    <w:rsid w:val="005648CF"/>
    <w:rsid w:val="00567E99"/>
    <w:rsid w:val="00572769"/>
    <w:rsid w:val="00572F15"/>
    <w:rsid w:val="00573EFF"/>
    <w:rsid w:val="005756A9"/>
    <w:rsid w:val="0057572B"/>
    <w:rsid w:val="00575918"/>
    <w:rsid w:val="0057706F"/>
    <w:rsid w:val="005801F2"/>
    <w:rsid w:val="00580A89"/>
    <w:rsid w:val="00583DBD"/>
    <w:rsid w:val="00585317"/>
    <w:rsid w:val="00586576"/>
    <w:rsid w:val="00590B29"/>
    <w:rsid w:val="005917D1"/>
    <w:rsid w:val="00594975"/>
    <w:rsid w:val="005973B4"/>
    <w:rsid w:val="00597B47"/>
    <w:rsid w:val="005A4CE3"/>
    <w:rsid w:val="005A6151"/>
    <w:rsid w:val="005A7C83"/>
    <w:rsid w:val="005B25B2"/>
    <w:rsid w:val="005B5ED3"/>
    <w:rsid w:val="005C04DF"/>
    <w:rsid w:val="005C14D4"/>
    <w:rsid w:val="005C2260"/>
    <w:rsid w:val="005C4053"/>
    <w:rsid w:val="005C4175"/>
    <w:rsid w:val="005C4E30"/>
    <w:rsid w:val="005D2F14"/>
    <w:rsid w:val="005D4065"/>
    <w:rsid w:val="005D49EE"/>
    <w:rsid w:val="005D4D1F"/>
    <w:rsid w:val="005E0961"/>
    <w:rsid w:val="005E3BBB"/>
    <w:rsid w:val="005E3CFC"/>
    <w:rsid w:val="005E4BAD"/>
    <w:rsid w:val="005E62F2"/>
    <w:rsid w:val="005E6ABD"/>
    <w:rsid w:val="005E7E30"/>
    <w:rsid w:val="005F005D"/>
    <w:rsid w:val="005F14A5"/>
    <w:rsid w:val="005F2B01"/>
    <w:rsid w:val="005F4CCC"/>
    <w:rsid w:val="006035D5"/>
    <w:rsid w:val="00603B69"/>
    <w:rsid w:val="00605028"/>
    <w:rsid w:val="006053ED"/>
    <w:rsid w:val="006063FF"/>
    <w:rsid w:val="00607757"/>
    <w:rsid w:val="00612631"/>
    <w:rsid w:val="00613D60"/>
    <w:rsid w:val="00621FB8"/>
    <w:rsid w:val="006220F0"/>
    <w:rsid w:val="006228BD"/>
    <w:rsid w:val="00627DB0"/>
    <w:rsid w:val="00632DDC"/>
    <w:rsid w:val="00633F89"/>
    <w:rsid w:val="00635A56"/>
    <w:rsid w:val="006364D4"/>
    <w:rsid w:val="00636B94"/>
    <w:rsid w:val="006371B6"/>
    <w:rsid w:val="00640844"/>
    <w:rsid w:val="00643B7C"/>
    <w:rsid w:val="00644E3F"/>
    <w:rsid w:val="00651307"/>
    <w:rsid w:val="00651C48"/>
    <w:rsid w:val="00652D22"/>
    <w:rsid w:val="00653091"/>
    <w:rsid w:val="00661F76"/>
    <w:rsid w:val="0066231F"/>
    <w:rsid w:val="006642F6"/>
    <w:rsid w:val="00664E08"/>
    <w:rsid w:val="006655B8"/>
    <w:rsid w:val="00666FB7"/>
    <w:rsid w:val="0066796C"/>
    <w:rsid w:val="00670731"/>
    <w:rsid w:val="006718E0"/>
    <w:rsid w:val="00672869"/>
    <w:rsid w:val="0068163E"/>
    <w:rsid w:val="00684BA6"/>
    <w:rsid w:val="0068742E"/>
    <w:rsid w:val="006879A1"/>
    <w:rsid w:val="00687F83"/>
    <w:rsid w:val="00692B2D"/>
    <w:rsid w:val="00695077"/>
    <w:rsid w:val="00696A01"/>
    <w:rsid w:val="00697025"/>
    <w:rsid w:val="006A0584"/>
    <w:rsid w:val="006A15A8"/>
    <w:rsid w:val="006A5BF7"/>
    <w:rsid w:val="006B0753"/>
    <w:rsid w:val="006B1584"/>
    <w:rsid w:val="006B3D2C"/>
    <w:rsid w:val="006B4DE0"/>
    <w:rsid w:val="006B7769"/>
    <w:rsid w:val="006C02DC"/>
    <w:rsid w:val="006C04E7"/>
    <w:rsid w:val="006C1266"/>
    <w:rsid w:val="006C201E"/>
    <w:rsid w:val="006C2ABA"/>
    <w:rsid w:val="006C3F49"/>
    <w:rsid w:val="006C601C"/>
    <w:rsid w:val="006C6C29"/>
    <w:rsid w:val="006C71D1"/>
    <w:rsid w:val="006C7740"/>
    <w:rsid w:val="006D0F47"/>
    <w:rsid w:val="006D2F39"/>
    <w:rsid w:val="006D3472"/>
    <w:rsid w:val="006D4F3D"/>
    <w:rsid w:val="006D6BE2"/>
    <w:rsid w:val="006D6E85"/>
    <w:rsid w:val="006E1DCB"/>
    <w:rsid w:val="006E3CDF"/>
    <w:rsid w:val="006E555A"/>
    <w:rsid w:val="006F24A6"/>
    <w:rsid w:val="006F7CE8"/>
    <w:rsid w:val="0070138A"/>
    <w:rsid w:val="00701F80"/>
    <w:rsid w:val="00704486"/>
    <w:rsid w:val="0070634A"/>
    <w:rsid w:val="00712185"/>
    <w:rsid w:val="007148DB"/>
    <w:rsid w:val="007202BB"/>
    <w:rsid w:val="007205A3"/>
    <w:rsid w:val="00723B61"/>
    <w:rsid w:val="007241CC"/>
    <w:rsid w:val="00724FDB"/>
    <w:rsid w:val="00725679"/>
    <w:rsid w:val="007258F6"/>
    <w:rsid w:val="007260C2"/>
    <w:rsid w:val="00726731"/>
    <w:rsid w:val="00727163"/>
    <w:rsid w:val="00735593"/>
    <w:rsid w:val="00736EEC"/>
    <w:rsid w:val="0074140A"/>
    <w:rsid w:val="007433C2"/>
    <w:rsid w:val="0074496A"/>
    <w:rsid w:val="0074543D"/>
    <w:rsid w:val="0074636C"/>
    <w:rsid w:val="00747A12"/>
    <w:rsid w:val="007507F2"/>
    <w:rsid w:val="007509EA"/>
    <w:rsid w:val="007515EA"/>
    <w:rsid w:val="007524E5"/>
    <w:rsid w:val="00753109"/>
    <w:rsid w:val="00754D38"/>
    <w:rsid w:val="00754E7D"/>
    <w:rsid w:val="00755959"/>
    <w:rsid w:val="0076369D"/>
    <w:rsid w:val="007678C8"/>
    <w:rsid w:val="00770CB5"/>
    <w:rsid w:val="00776BE9"/>
    <w:rsid w:val="0078077E"/>
    <w:rsid w:val="00782D00"/>
    <w:rsid w:val="00783736"/>
    <w:rsid w:val="00784B62"/>
    <w:rsid w:val="0079011B"/>
    <w:rsid w:val="00790C8D"/>
    <w:rsid w:val="0079456B"/>
    <w:rsid w:val="00794BAB"/>
    <w:rsid w:val="00796505"/>
    <w:rsid w:val="007A001A"/>
    <w:rsid w:val="007A6A38"/>
    <w:rsid w:val="007B18A2"/>
    <w:rsid w:val="007B2B08"/>
    <w:rsid w:val="007B31A1"/>
    <w:rsid w:val="007B31AD"/>
    <w:rsid w:val="007B3AD3"/>
    <w:rsid w:val="007B6797"/>
    <w:rsid w:val="007C06C9"/>
    <w:rsid w:val="007C155F"/>
    <w:rsid w:val="007C2707"/>
    <w:rsid w:val="007C71CC"/>
    <w:rsid w:val="007C7E23"/>
    <w:rsid w:val="007D0B04"/>
    <w:rsid w:val="007D10EF"/>
    <w:rsid w:val="007D3A73"/>
    <w:rsid w:val="007D6D35"/>
    <w:rsid w:val="007D6D44"/>
    <w:rsid w:val="007E0300"/>
    <w:rsid w:val="007E4347"/>
    <w:rsid w:val="007F1426"/>
    <w:rsid w:val="007F1ADE"/>
    <w:rsid w:val="007F4327"/>
    <w:rsid w:val="007F4B12"/>
    <w:rsid w:val="007F5182"/>
    <w:rsid w:val="007F537A"/>
    <w:rsid w:val="007F66AD"/>
    <w:rsid w:val="0080465F"/>
    <w:rsid w:val="008107AB"/>
    <w:rsid w:val="00811D66"/>
    <w:rsid w:val="008131C3"/>
    <w:rsid w:val="00813B3B"/>
    <w:rsid w:val="00813ECF"/>
    <w:rsid w:val="00814C7E"/>
    <w:rsid w:val="00814DE5"/>
    <w:rsid w:val="00821E01"/>
    <w:rsid w:val="00826184"/>
    <w:rsid w:val="0082667C"/>
    <w:rsid w:val="00827932"/>
    <w:rsid w:val="00827E55"/>
    <w:rsid w:val="008307B9"/>
    <w:rsid w:val="0083275F"/>
    <w:rsid w:val="00832DFB"/>
    <w:rsid w:val="0083350D"/>
    <w:rsid w:val="00836BCB"/>
    <w:rsid w:val="0084018C"/>
    <w:rsid w:val="00841CBC"/>
    <w:rsid w:val="00845772"/>
    <w:rsid w:val="00850689"/>
    <w:rsid w:val="00851859"/>
    <w:rsid w:val="0085200D"/>
    <w:rsid w:val="00853A60"/>
    <w:rsid w:val="00855C42"/>
    <w:rsid w:val="00855E51"/>
    <w:rsid w:val="00857781"/>
    <w:rsid w:val="008607D1"/>
    <w:rsid w:val="00863299"/>
    <w:rsid w:val="008677D2"/>
    <w:rsid w:val="008704F9"/>
    <w:rsid w:val="00872590"/>
    <w:rsid w:val="00873DA3"/>
    <w:rsid w:val="00881FD8"/>
    <w:rsid w:val="0088683F"/>
    <w:rsid w:val="00887448"/>
    <w:rsid w:val="00887D6B"/>
    <w:rsid w:val="00887DFF"/>
    <w:rsid w:val="0089311B"/>
    <w:rsid w:val="008A0133"/>
    <w:rsid w:val="008A296A"/>
    <w:rsid w:val="008A63B1"/>
    <w:rsid w:val="008B6A39"/>
    <w:rsid w:val="008C1EAB"/>
    <w:rsid w:val="008C2D79"/>
    <w:rsid w:val="008C4222"/>
    <w:rsid w:val="008C50FB"/>
    <w:rsid w:val="008C5D3B"/>
    <w:rsid w:val="008C606B"/>
    <w:rsid w:val="008C642C"/>
    <w:rsid w:val="008D297D"/>
    <w:rsid w:val="008D384B"/>
    <w:rsid w:val="008D3894"/>
    <w:rsid w:val="008D4FF3"/>
    <w:rsid w:val="008D54A1"/>
    <w:rsid w:val="008D5CEF"/>
    <w:rsid w:val="008D6FAA"/>
    <w:rsid w:val="008D7100"/>
    <w:rsid w:val="008E5987"/>
    <w:rsid w:val="008E6511"/>
    <w:rsid w:val="008F1202"/>
    <w:rsid w:val="008F3095"/>
    <w:rsid w:val="008F36A1"/>
    <w:rsid w:val="008F4A03"/>
    <w:rsid w:val="008F5FF8"/>
    <w:rsid w:val="008F6816"/>
    <w:rsid w:val="00901811"/>
    <w:rsid w:val="009034CB"/>
    <w:rsid w:val="00910B49"/>
    <w:rsid w:val="00913B5D"/>
    <w:rsid w:val="0091453F"/>
    <w:rsid w:val="00916133"/>
    <w:rsid w:val="009205A0"/>
    <w:rsid w:val="00923A06"/>
    <w:rsid w:val="00923DE9"/>
    <w:rsid w:val="00924D08"/>
    <w:rsid w:val="00925E58"/>
    <w:rsid w:val="00926DEE"/>
    <w:rsid w:val="0092717A"/>
    <w:rsid w:val="0092745E"/>
    <w:rsid w:val="0093046E"/>
    <w:rsid w:val="009305B6"/>
    <w:rsid w:val="0093371F"/>
    <w:rsid w:val="00933F17"/>
    <w:rsid w:val="009345A9"/>
    <w:rsid w:val="00935897"/>
    <w:rsid w:val="00935FC5"/>
    <w:rsid w:val="009409D5"/>
    <w:rsid w:val="0094269B"/>
    <w:rsid w:val="00944C34"/>
    <w:rsid w:val="00946343"/>
    <w:rsid w:val="00947E0F"/>
    <w:rsid w:val="00953279"/>
    <w:rsid w:val="009571F3"/>
    <w:rsid w:val="009601A1"/>
    <w:rsid w:val="009619E5"/>
    <w:rsid w:val="00962975"/>
    <w:rsid w:val="009629A2"/>
    <w:rsid w:val="00962F96"/>
    <w:rsid w:val="00964AE4"/>
    <w:rsid w:val="009668FC"/>
    <w:rsid w:val="009679AE"/>
    <w:rsid w:val="00970416"/>
    <w:rsid w:val="00970725"/>
    <w:rsid w:val="00976EF7"/>
    <w:rsid w:val="00977B37"/>
    <w:rsid w:val="00977D4A"/>
    <w:rsid w:val="009839BA"/>
    <w:rsid w:val="00983FFA"/>
    <w:rsid w:val="0098430D"/>
    <w:rsid w:val="009857C8"/>
    <w:rsid w:val="0099003A"/>
    <w:rsid w:val="00990BEA"/>
    <w:rsid w:val="00991A80"/>
    <w:rsid w:val="009934CE"/>
    <w:rsid w:val="00995677"/>
    <w:rsid w:val="0099704E"/>
    <w:rsid w:val="009A19EC"/>
    <w:rsid w:val="009A1F55"/>
    <w:rsid w:val="009A448F"/>
    <w:rsid w:val="009A466B"/>
    <w:rsid w:val="009B0B25"/>
    <w:rsid w:val="009B393F"/>
    <w:rsid w:val="009B3B6E"/>
    <w:rsid w:val="009B4FDC"/>
    <w:rsid w:val="009B75B7"/>
    <w:rsid w:val="009B7A2E"/>
    <w:rsid w:val="009C0BE6"/>
    <w:rsid w:val="009C0E29"/>
    <w:rsid w:val="009C3265"/>
    <w:rsid w:val="009C3CCD"/>
    <w:rsid w:val="009C5899"/>
    <w:rsid w:val="009C671D"/>
    <w:rsid w:val="009D201E"/>
    <w:rsid w:val="009D2F55"/>
    <w:rsid w:val="009D3E95"/>
    <w:rsid w:val="009D47E0"/>
    <w:rsid w:val="009D60C7"/>
    <w:rsid w:val="009D64A7"/>
    <w:rsid w:val="009E1EC9"/>
    <w:rsid w:val="009E6FC3"/>
    <w:rsid w:val="009F49FD"/>
    <w:rsid w:val="009F4A78"/>
    <w:rsid w:val="009F5261"/>
    <w:rsid w:val="009F5F16"/>
    <w:rsid w:val="00A01060"/>
    <w:rsid w:val="00A013A2"/>
    <w:rsid w:val="00A01A77"/>
    <w:rsid w:val="00A02A86"/>
    <w:rsid w:val="00A05B14"/>
    <w:rsid w:val="00A12A79"/>
    <w:rsid w:val="00A154AE"/>
    <w:rsid w:val="00A15B4A"/>
    <w:rsid w:val="00A24A6C"/>
    <w:rsid w:val="00A26CBD"/>
    <w:rsid w:val="00A31124"/>
    <w:rsid w:val="00A320D6"/>
    <w:rsid w:val="00A32A10"/>
    <w:rsid w:val="00A32BB8"/>
    <w:rsid w:val="00A34BBA"/>
    <w:rsid w:val="00A36956"/>
    <w:rsid w:val="00A41B6C"/>
    <w:rsid w:val="00A42E19"/>
    <w:rsid w:val="00A4371C"/>
    <w:rsid w:val="00A4493C"/>
    <w:rsid w:val="00A50CDA"/>
    <w:rsid w:val="00A5112D"/>
    <w:rsid w:val="00A51217"/>
    <w:rsid w:val="00A546C8"/>
    <w:rsid w:val="00A559FE"/>
    <w:rsid w:val="00A63525"/>
    <w:rsid w:val="00A639A8"/>
    <w:rsid w:val="00A65E10"/>
    <w:rsid w:val="00A6763C"/>
    <w:rsid w:val="00A701DA"/>
    <w:rsid w:val="00A70D9E"/>
    <w:rsid w:val="00A72165"/>
    <w:rsid w:val="00A74DD0"/>
    <w:rsid w:val="00A80BDB"/>
    <w:rsid w:val="00A82254"/>
    <w:rsid w:val="00A8400F"/>
    <w:rsid w:val="00A848C8"/>
    <w:rsid w:val="00A853E8"/>
    <w:rsid w:val="00A85AAF"/>
    <w:rsid w:val="00A86343"/>
    <w:rsid w:val="00A92EE4"/>
    <w:rsid w:val="00A93E45"/>
    <w:rsid w:val="00A95EB3"/>
    <w:rsid w:val="00AA00B1"/>
    <w:rsid w:val="00AA0BBA"/>
    <w:rsid w:val="00AA3F9F"/>
    <w:rsid w:val="00AA52CE"/>
    <w:rsid w:val="00AA5E62"/>
    <w:rsid w:val="00AA6BC3"/>
    <w:rsid w:val="00AB0211"/>
    <w:rsid w:val="00AB072E"/>
    <w:rsid w:val="00AB1918"/>
    <w:rsid w:val="00AB1B9C"/>
    <w:rsid w:val="00AB22B0"/>
    <w:rsid w:val="00AB2E4B"/>
    <w:rsid w:val="00AB4C83"/>
    <w:rsid w:val="00AB5134"/>
    <w:rsid w:val="00AB5A6E"/>
    <w:rsid w:val="00AB6AFD"/>
    <w:rsid w:val="00AB6C44"/>
    <w:rsid w:val="00AC165C"/>
    <w:rsid w:val="00AC1A38"/>
    <w:rsid w:val="00AC7DD8"/>
    <w:rsid w:val="00AD1175"/>
    <w:rsid w:val="00AD13B0"/>
    <w:rsid w:val="00AD1F8C"/>
    <w:rsid w:val="00AD2638"/>
    <w:rsid w:val="00AD3BB6"/>
    <w:rsid w:val="00AD552A"/>
    <w:rsid w:val="00AD5642"/>
    <w:rsid w:val="00AD7E0F"/>
    <w:rsid w:val="00AD7FC8"/>
    <w:rsid w:val="00AE0748"/>
    <w:rsid w:val="00AE138F"/>
    <w:rsid w:val="00AE13C6"/>
    <w:rsid w:val="00AE13DB"/>
    <w:rsid w:val="00AE1E23"/>
    <w:rsid w:val="00AE424F"/>
    <w:rsid w:val="00AE4CD6"/>
    <w:rsid w:val="00AE57D9"/>
    <w:rsid w:val="00AE59E0"/>
    <w:rsid w:val="00AE6DC9"/>
    <w:rsid w:val="00AE70FC"/>
    <w:rsid w:val="00AE7490"/>
    <w:rsid w:val="00AE763B"/>
    <w:rsid w:val="00AF0837"/>
    <w:rsid w:val="00AF098C"/>
    <w:rsid w:val="00AF26D4"/>
    <w:rsid w:val="00AF46EE"/>
    <w:rsid w:val="00AF6C64"/>
    <w:rsid w:val="00AF78C2"/>
    <w:rsid w:val="00AF7E0E"/>
    <w:rsid w:val="00B001BA"/>
    <w:rsid w:val="00B008D9"/>
    <w:rsid w:val="00B02B9F"/>
    <w:rsid w:val="00B049E7"/>
    <w:rsid w:val="00B04B45"/>
    <w:rsid w:val="00B0670B"/>
    <w:rsid w:val="00B07310"/>
    <w:rsid w:val="00B07537"/>
    <w:rsid w:val="00B07630"/>
    <w:rsid w:val="00B125FB"/>
    <w:rsid w:val="00B14023"/>
    <w:rsid w:val="00B146E4"/>
    <w:rsid w:val="00B14726"/>
    <w:rsid w:val="00B15C26"/>
    <w:rsid w:val="00B17093"/>
    <w:rsid w:val="00B177E4"/>
    <w:rsid w:val="00B212F3"/>
    <w:rsid w:val="00B24088"/>
    <w:rsid w:val="00B2415D"/>
    <w:rsid w:val="00B24BDF"/>
    <w:rsid w:val="00B24F74"/>
    <w:rsid w:val="00B266B5"/>
    <w:rsid w:val="00B2771A"/>
    <w:rsid w:val="00B3015D"/>
    <w:rsid w:val="00B313A2"/>
    <w:rsid w:val="00B3570D"/>
    <w:rsid w:val="00B363EC"/>
    <w:rsid w:val="00B418B5"/>
    <w:rsid w:val="00B4259E"/>
    <w:rsid w:val="00B434AB"/>
    <w:rsid w:val="00B4424A"/>
    <w:rsid w:val="00B46AC9"/>
    <w:rsid w:val="00B46B2C"/>
    <w:rsid w:val="00B47041"/>
    <w:rsid w:val="00B47FA4"/>
    <w:rsid w:val="00B50B45"/>
    <w:rsid w:val="00B5174F"/>
    <w:rsid w:val="00B521C8"/>
    <w:rsid w:val="00B53AB5"/>
    <w:rsid w:val="00B53BF5"/>
    <w:rsid w:val="00B56227"/>
    <w:rsid w:val="00B57B4A"/>
    <w:rsid w:val="00B65197"/>
    <w:rsid w:val="00B65827"/>
    <w:rsid w:val="00B7045D"/>
    <w:rsid w:val="00B718D4"/>
    <w:rsid w:val="00B71907"/>
    <w:rsid w:val="00B72138"/>
    <w:rsid w:val="00B72512"/>
    <w:rsid w:val="00B748C1"/>
    <w:rsid w:val="00B7626F"/>
    <w:rsid w:val="00B77172"/>
    <w:rsid w:val="00B80AB7"/>
    <w:rsid w:val="00B83CF5"/>
    <w:rsid w:val="00B84600"/>
    <w:rsid w:val="00B848B8"/>
    <w:rsid w:val="00B8518E"/>
    <w:rsid w:val="00B86B19"/>
    <w:rsid w:val="00B87849"/>
    <w:rsid w:val="00B907EE"/>
    <w:rsid w:val="00B9137A"/>
    <w:rsid w:val="00B92E40"/>
    <w:rsid w:val="00B9341D"/>
    <w:rsid w:val="00B94C29"/>
    <w:rsid w:val="00B96C7B"/>
    <w:rsid w:val="00B97316"/>
    <w:rsid w:val="00BA1832"/>
    <w:rsid w:val="00BA2382"/>
    <w:rsid w:val="00BA4627"/>
    <w:rsid w:val="00BA4B58"/>
    <w:rsid w:val="00BA5C9E"/>
    <w:rsid w:val="00BA6839"/>
    <w:rsid w:val="00BA6883"/>
    <w:rsid w:val="00BB0B20"/>
    <w:rsid w:val="00BB0FB0"/>
    <w:rsid w:val="00BB1D76"/>
    <w:rsid w:val="00BB40F9"/>
    <w:rsid w:val="00BB4574"/>
    <w:rsid w:val="00BB613D"/>
    <w:rsid w:val="00BB6502"/>
    <w:rsid w:val="00BB6ED3"/>
    <w:rsid w:val="00BB70CF"/>
    <w:rsid w:val="00BC29F2"/>
    <w:rsid w:val="00BC30D0"/>
    <w:rsid w:val="00BC3705"/>
    <w:rsid w:val="00BC3809"/>
    <w:rsid w:val="00BC45BA"/>
    <w:rsid w:val="00BC5FC1"/>
    <w:rsid w:val="00BC63AF"/>
    <w:rsid w:val="00BD2E3B"/>
    <w:rsid w:val="00BD35D4"/>
    <w:rsid w:val="00BD3886"/>
    <w:rsid w:val="00BD4BED"/>
    <w:rsid w:val="00BD5772"/>
    <w:rsid w:val="00BD6AB7"/>
    <w:rsid w:val="00BD731F"/>
    <w:rsid w:val="00BE4A20"/>
    <w:rsid w:val="00BE6546"/>
    <w:rsid w:val="00BF1E2C"/>
    <w:rsid w:val="00BF5E1D"/>
    <w:rsid w:val="00C04926"/>
    <w:rsid w:val="00C05545"/>
    <w:rsid w:val="00C05AC5"/>
    <w:rsid w:val="00C0627A"/>
    <w:rsid w:val="00C06490"/>
    <w:rsid w:val="00C074FA"/>
    <w:rsid w:val="00C119BA"/>
    <w:rsid w:val="00C13FB9"/>
    <w:rsid w:val="00C14A94"/>
    <w:rsid w:val="00C15520"/>
    <w:rsid w:val="00C159DE"/>
    <w:rsid w:val="00C1775E"/>
    <w:rsid w:val="00C218C7"/>
    <w:rsid w:val="00C22184"/>
    <w:rsid w:val="00C223EF"/>
    <w:rsid w:val="00C247A9"/>
    <w:rsid w:val="00C2549D"/>
    <w:rsid w:val="00C256CD"/>
    <w:rsid w:val="00C26B31"/>
    <w:rsid w:val="00C31CFF"/>
    <w:rsid w:val="00C32319"/>
    <w:rsid w:val="00C33C55"/>
    <w:rsid w:val="00C3473F"/>
    <w:rsid w:val="00C3519D"/>
    <w:rsid w:val="00C45B1C"/>
    <w:rsid w:val="00C46F4A"/>
    <w:rsid w:val="00C51594"/>
    <w:rsid w:val="00C52BD1"/>
    <w:rsid w:val="00C60B4D"/>
    <w:rsid w:val="00C60BBB"/>
    <w:rsid w:val="00C60DF1"/>
    <w:rsid w:val="00C62D50"/>
    <w:rsid w:val="00C639DB"/>
    <w:rsid w:val="00C63C3F"/>
    <w:rsid w:val="00C65715"/>
    <w:rsid w:val="00C66139"/>
    <w:rsid w:val="00C70807"/>
    <w:rsid w:val="00C710B2"/>
    <w:rsid w:val="00C71A0B"/>
    <w:rsid w:val="00C72866"/>
    <w:rsid w:val="00C75502"/>
    <w:rsid w:val="00C7789C"/>
    <w:rsid w:val="00C92298"/>
    <w:rsid w:val="00C9489B"/>
    <w:rsid w:val="00C9516A"/>
    <w:rsid w:val="00C9653B"/>
    <w:rsid w:val="00C97C3E"/>
    <w:rsid w:val="00CA114D"/>
    <w:rsid w:val="00CA5C14"/>
    <w:rsid w:val="00CB030E"/>
    <w:rsid w:val="00CB381B"/>
    <w:rsid w:val="00CB4F31"/>
    <w:rsid w:val="00CB5463"/>
    <w:rsid w:val="00CB54E2"/>
    <w:rsid w:val="00CB6361"/>
    <w:rsid w:val="00CB760F"/>
    <w:rsid w:val="00CC023B"/>
    <w:rsid w:val="00CC1593"/>
    <w:rsid w:val="00CC1E17"/>
    <w:rsid w:val="00CC2745"/>
    <w:rsid w:val="00CC5E99"/>
    <w:rsid w:val="00CC6072"/>
    <w:rsid w:val="00CD0603"/>
    <w:rsid w:val="00CD18EC"/>
    <w:rsid w:val="00CD1A0F"/>
    <w:rsid w:val="00CD3031"/>
    <w:rsid w:val="00CD4CEC"/>
    <w:rsid w:val="00CD5B8C"/>
    <w:rsid w:val="00CD6862"/>
    <w:rsid w:val="00CD6948"/>
    <w:rsid w:val="00CD6CD3"/>
    <w:rsid w:val="00CD7EB2"/>
    <w:rsid w:val="00CE142A"/>
    <w:rsid w:val="00CE2089"/>
    <w:rsid w:val="00CE4177"/>
    <w:rsid w:val="00CE501B"/>
    <w:rsid w:val="00CE59B7"/>
    <w:rsid w:val="00CE6E0B"/>
    <w:rsid w:val="00CE7E8F"/>
    <w:rsid w:val="00CF0C37"/>
    <w:rsid w:val="00CF21AC"/>
    <w:rsid w:val="00CF3193"/>
    <w:rsid w:val="00D0302B"/>
    <w:rsid w:val="00D03320"/>
    <w:rsid w:val="00D06407"/>
    <w:rsid w:val="00D06AEB"/>
    <w:rsid w:val="00D11FD9"/>
    <w:rsid w:val="00D12585"/>
    <w:rsid w:val="00D129D2"/>
    <w:rsid w:val="00D13F7E"/>
    <w:rsid w:val="00D21627"/>
    <w:rsid w:val="00D225DD"/>
    <w:rsid w:val="00D23549"/>
    <w:rsid w:val="00D25028"/>
    <w:rsid w:val="00D30300"/>
    <w:rsid w:val="00D30805"/>
    <w:rsid w:val="00D34785"/>
    <w:rsid w:val="00D42698"/>
    <w:rsid w:val="00D43B96"/>
    <w:rsid w:val="00D44C74"/>
    <w:rsid w:val="00D51480"/>
    <w:rsid w:val="00D518E5"/>
    <w:rsid w:val="00D535BA"/>
    <w:rsid w:val="00D538AC"/>
    <w:rsid w:val="00D638B1"/>
    <w:rsid w:val="00D64308"/>
    <w:rsid w:val="00D7075F"/>
    <w:rsid w:val="00D70A3E"/>
    <w:rsid w:val="00D72125"/>
    <w:rsid w:val="00D73350"/>
    <w:rsid w:val="00D740D7"/>
    <w:rsid w:val="00D74924"/>
    <w:rsid w:val="00D77A6F"/>
    <w:rsid w:val="00D8062C"/>
    <w:rsid w:val="00D865CF"/>
    <w:rsid w:val="00D87299"/>
    <w:rsid w:val="00D87EF4"/>
    <w:rsid w:val="00D900A2"/>
    <w:rsid w:val="00D90411"/>
    <w:rsid w:val="00D92897"/>
    <w:rsid w:val="00D9581C"/>
    <w:rsid w:val="00DA0F3C"/>
    <w:rsid w:val="00DA163A"/>
    <w:rsid w:val="00DA1F61"/>
    <w:rsid w:val="00DA613B"/>
    <w:rsid w:val="00DA736B"/>
    <w:rsid w:val="00DB171A"/>
    <w:rsid w:val="00DB1C23"/>
    <w:rsid w:val="00DC3F96"/>
    <w:rsid w:val="00DC6040"/>
    <w:rsid w:val="00DC787A"/>
    <w:rsid w:val="00DD0A73"/>
    <w:rsid w:val="00DD4484"/>
    <w:rsid w:val="00DD49CF"/>
    <w:rsid w:val="00DD6A6D"/>
    <w:rsid w:val="00DE0531"/>
    <w:rsid w:val="00DE0AB1"/>
    <w:rsid w:val="00DE2F44"/>
    <w:rsid w:val="00DE2FDF"/>
    <w:rsid w:val="00DE38CA"/>
    <w:rsid w:val="00DE60ED"/>
    <w:rsid w:val="00DE630B"/>
    <w:rsid w:val="00DE7689"/>
    <w:rsid w:val="00DE7E4F"/>
    <w:rsid w:val="00DF5FD2"/>
    <w:rsid w:val="00E0115E"/>
    <w:rsid w:val="00E03BCA"/>
    <w:rsid w:val="00E044F7"/>
    <w:rsid w:val="00E06259"/>
    <w:rsid w:val="00E076E0"/>
    <w:rsid w:val="00E11F66"/>
    <w:rsid w:val="00E1298C"/>
    <w:rsid w:val="00E16390"/>
    <w:rsid w:val="00E208E0"/>
    <w:rsid w:val="00E20A65"/>
    <w:rsid w:val="00E20B00"/>
    <w:rsid w:val="00E2251E"/>
    <w:rsid w:val="00E22948"/>
    <w:rsid w:val="00E23289"/>
    <w:rsid w:val="00E248FA"/>
    <w:rsid w:val="00E25022"/>
    <w:rsid w:val="00E2592F"/>
    <w:rsid w:val="00E27000"/>
    <w:rsid w:val="00E3033F"/>
    <w:rsid w:val="00E320FA"/>
    <w:rsid w:val="00E3660D"/>
    <w:rsid w:val="00E409EB"/>
    <w:rsid w:val="00E450BB"/>
    <w:rsid w:val="00E4617F"/>
    <w:rsid w:val="00E474E6"/>
    <w:rsid w:val="00E5210E"/>
    <w:rsid w:val="00E53537"/>
    <w:rsid w:val="00E53EA1"/>
    <w:rsid w:val="00E567B1"/>
    <w:rsid w:val="00E56D06"/>
    <w:rsid w:val="00E56FF4"/>
    <w:rsid w:val="00E62BCF"/>
    <w:rsid w:val="00E6319D"/>
    <w:rsid w:val="00E63E5A"/>
    <w:rsid w:val="00E65ACD"/>
    <w:rsid w:val="00E65D81"/>
    <w:rsid w:val="00E7172F"/>
    <w:rsid w:val="00E72473"/>
    <w:rsid w:val="00E72BBB"/>
    <w:rsid w:val="00E764D4"/>
    <w:rsid w:val="00E76D7F"/>
    <w:rsid w:val="00E816E2"/>
    <w:rsid w:val="00E82802"/>
    <w:rsid w:val="00E84FB7"/>
    <w:rsid w:val="00E861BA"/>
    <w:rsid w:val="00E92380"/>
    <w:rsid w:val="00E93E9F"/>
    <w:rsid w:val="00E96AF4"/>
    <w:rsid w:val="00E96B9D"/>
    <w:rsid w:val="00EA002C"/>
    <w:rsid w:val="00EA064F"/>
    <w:rsid w:val="00EA1268"/>
    <w:rsid w:val="00EA15C2"/>
    <w:rsid w:val="00EA2A65"/>
    <w:rsid w:val="00EA3172"/>
    <w:rsid w:val="00EA364F"/>
    <w:rsid w:val="00EA4902"/>
    <w:rsid w:val="00EB0B2A"/>
    <w:rsid w:val="00EB10F5"/>
    <w:rsid w:val="00EB2072"/>
    <w:rsid w:val="00EB522E"/>
    <w:rsid w:val="00EB75CF"/>
    <w:rsid w:val="00EC014C"/>
    <w:rsid w:val="00EC0C41"/>
    <w:rsid w:val="00EC27DE"/>
    <w:rsid w:val="00EC519E"/>
    <w:rsid w:val="00EC7A8B"/>
    <w:rsid w:val="00ED0BF5"/>
    <w:rsid w:val="00ED2577"/>
    <w:rsid w:val="00ED5AC0"/>
    <w:rsid w:val="00ED6D75"/>
    <w:rsid w:val="00EE15CE"/>
    <w:rsid w:val="00EE17DB"/>
    <w:rsid w:val="00EE66AE"/>
    <w:rsid w:val="00EE75C7"/>
    <w:rsid w:val="00EE7BC8"/>
    <w:rsid w:val="00EF2897"/>
    <w:rsid w:val="00EF6DB2"/>
    <w:rsid w:val="00EF6DB9"/>
    <w:rsid w:val="00F0225D"/>
    <w:rsid w:val="00F04B0C"/>
    <w:rsid w:val="00F05B21"/>
    <w:rsid w:val="00F066CE"/>
    <w:rsid w:val="00F07B59"/>
    <w:rsid w:val="00F109DD"/>
    <w:rsid w:val="00F154F1"/>
    <w:rsid w:val="00F15E0B"/>
    <w:rsid w:val="00F15FAC"/>
    <w:rsid w:val="00F16FCF"/>
    <w:rsid w:val="00F22A64"/>
    <w:rsid w:val="00F309C0"/>
    <w:rsid w:val="00F3292F"/>
    <w:rsid w:val="00F3428C"/>
    <w:rsid w:val="00F34D10"/>
    <w:rsid w:val="00F358E5"/>
    <w:rsid w:val="00F35AAB"/>
    <w:rsid w:val="00F3774F"/>
    <w:rsid w:val="00F40A5C"/>
    <w:rsid w:val="00F422EA"/>
    <w:rsid w:val="00F42903"/>
    <w:rsid w:val="00F42CDE"/>
    <w:rsid w:val="00F42E76"/>
    <w:rsid w:val="00F45ADB"/>
    <w:rsid w:val="00F506C3"/>
    <w:rsid w:val="00F517FF"/>
    <w:rsid w:val="00F546FF"/>
    <w:rsid w:val="00F56160"/>
    <w:rsid w:val="00F57D31"/>
    <w:rsid w:val="00F60166"/>
    <w:rsid w:val="00F647DE"/>
    <w:rsid w:val="00F64C5B"/>
    <w:rsid w:val="00F65F0B"/>
    <w:rsid w:val="00F72783"/>
    <w:rsid w:val="00F73B52"/>
    <w:rsid w:val="00F747F9"/>
    <w:rsid w:val="00F75925"/>
    <w:rsid w:val="00F80CA5"/>
    <w:rsid w:val="00F81B24"/>
    <w:rsid w:val="00F82036"/>
    <w:rsid w:val="00F84B5E"/>
    <w:rsid w:val="00F84C0B"/>
    <w:rsid w:val="00F872FC"/>
    <w:rsid w:val="00F87A0C"/>
    <w:rsid w:val="00F9239C"/>
    <w:rsid w:val="00FA1F1F"/>
    <w:rsid w:val="00FA55C7"/>
    <w:rsid w:val="00FA6691"/>
    <w:rsid w:val="00FA6A2F"/>
    <w:rsid w:val="00FB1481"/>
    <w:rsid w:val="00FB16DC"/>
    <w:rsid w:val="00FB2CE8"/>
    <w:rsid w:val="00FB3973"/>
    <w:rsid w:val="00FB63D2"/>
    <w:rsid w:val="00FB725C"/>
    <w:rsid w:val="00FC253A"/>
    <w:rsid w:val="00FC3E2C"/>
    <w:rsid w:val="00FC5750"/>
    <w:rsid w:val="00FD1420"/>
    <w:rsid w:val="00FD5E10"/>
    <w:rsid w:val="00FE00C9"/>
    <w:rsid w:val="00FE197E"/>
    <w:rsid w:val="00FE32C4"/>
    <w:rsid w:val="00FE394C"/>
    <w:rsid w:val="00FF0D95"/>
    <w:rsid w:val="00FF4E91"/>
    <w:rsid w:val="00FF58B8"/>
    <w:rsid w:val="00FF64AD"/>
    <w:rsid w:val="012B28D2"/>
    <w:rsid w:val="017E4D56"/>
    <w:rsid w:val="01E524CB"/>
    <w:rsid w:val="02283FBF"/>
    <w:rsid w:val="02480E0C"/>
    <w:rsid w:val="029E7BF0"/>
    <w:rsid w:val="02D47146"/>
    <w:rsid w:val="0303580E"/>
    <w:rsid w:val="0312102E"/>
    <w:rsid w:val="032E3237"/>
    <w:rsid w:val="036B4CC9"/>
    <w:rsid w:val="03E41A37"/>
    <w:rsid w:val="041D775E"/>
    <w:rsid w:val="046265D7"/>
    <w:rsid w:val="04B90867"/>
    <w:rsid w:val="04D5126F"/>
    <w:rsid w:val="04F504E4"/>
    <w:rsid w:val="051D3ED7"/>
    <w:rsid w:val="05222D38"/>
    <w:rsid w:val="053377FA"/>
    <w:rsid w:val="0573132E"/>
    <w:rsid w:val="06582A86"/>
    <w:rsid w:val="06AD5A5D"/>
    <w:rsid w:val="08177212"/>
    <w:rsid w:val="083E4AC1"/>
    <w:rsid w:val="088071ED"/>
    <w:rsid w:val="08BC5A2F"/>
    <w:rsid w:val="0912138E"/>
    <w:rsid w:val="09314E03"/>
    <w:rsid w:val="095347EA"/>
    <w:rsid w:val="0972669A"/>
    <w:rsid w:val="098B21E0"/>
    <w:rsid w:val="09BA51F2"/>
    <w:rsid w:val="09BD2D3E"/>
    <w:rsid w:val="09C032F2"/>
    <w:rsid w:val="09F108E6"/>
    <w:rsid w:val="09FF17D5"/>
    <w:rsid w:val="0A314B36"/>
    <w:rsid w:val="0A5A206E"/>
    <w:rsid w:val="0A837EA2"/>
    <w:rsid w:val="0AB006C2"/>
    <w:rsid w:val="0AD92B47"/>
    <w:rsid w:val="0AD96271"/>
    <w:rsid w:val="0AF93A73"/>
    <w:rsid w:val="0B364BBC"/>
    <w:rsid w:val="0BA161C4"/>
    <w:rsid w:val="0BE13704"/>
    <w:rsid w:val="0C2D70B6"/>
    <w:rsid w:val="0C44027C"/>
    <w:rsid w:val="0C6E758A"/>
    <w:rsid w:val="0CF060BC"/>
    <w:rsid w:val="0D240313"/>
    <w:rsid w:val="0D25389A"/>
    <w:rsid w:val="0D5F5338"/>
    <w:rsid w:val="0D6718A1"/>
    <w:rsid w:val="0D764B1A"/>
    <w:rsid w:val="0DCC03E8"/>
    <w:rsid w:val="0DFB1DD4"/>
    <w:rsid w:val="0DFC2659"/>
    <w:rsid w:val="0E06668B"/>
    <w:rsid w:val="0E841427"/>
    <w:rsid w:val="0E8478E3"/>
    <w:rsid w:val="0E9C1555"/>
    <w:rsid w:val="0EFD3BA7"/>
    <w:rsid w:val="0F017D30"/>
    <w:rsid w:val="0F18690A"/>
    <w:rsid w:val="0F36262A"/>
    <w:rsid w:val="0F41394C"/>
    <w:rsid w:val="0F603B32"/>
    <w:rsid w:val="0F6C29EE"/>
    <w:rsid w:val="0FAF7B58"/>
    <w:rsid w:val="0FD348E1"/>
    <w:rsid w:val="10192377"/>
    <w:rsid w:val="10401BD1"/>
    <w:rsid w:val="104E59F2"/>
    <w:rsid w:val="10683981"/>
    <w:rsid w:val="10F020EC"/>
    <w:rsid w:val="110354CB"/>
    <w:rsid w:val="111B747A"/>
    <w:rsid w:val="113436F4"/>
    <w:rsid w:val="113B5CC0"/>
    <w:rsid w:val="116D0E66"/>
    <w:rsid w:val="118034A9"/>
    <w:rsid w:val="11D50990"/>
    <w:rsid w:val="11D97B27"/>
    <w:rsid w:val="12641C4E"/>
    <w:rsid w:val="12A21EA7"/>
    <w:rsid w:val="12A41798"/>
    <w:rsid w:val="12F23742"/>
    <w:rsid w:val="131F51A8"/>
    <w:rsid w:val="134A544A"/>
    <w:rsid w:val="135125E0"/>
    <w:rsid w:val="135E7259"/>
    <w:rsid w:val="138A3509"/>
    <w:rsid w:val="13E54E5B"/>
    <w:rsid w:val="14573757"/>
    <w:rsid w:val="149C1EED"/>
    <w:rsid w:val="14A00F30"/>
    <w:rsid w:val="14E562A9"/>
    <w:rsid w:val="15020A44"/>
    <w:rsid w:val="15BE0A1E"/>
    <w:rsid w:val="163F2035"/>
    <w:rsid w:val="16565773"/>
    <w:rsid w:val="16686F5F"/>
    <w:rsid w:val="168C426A"/>
    <w:rsid w:val="16EE37BA"/>
    <w:rsid w:val="16FC3D08"/>
    <w:rsid w:val="1772122B"/>
    <w:rsid w:val="177521A4"/>
    <w:rsid w:val="178E25AD"/>
    <w:rsid w:val="179A2C7A"/>
    <w:rsid w:val="179A541A"/>
    <w:rsid w:val="17A353B7"/>
    <w:rsid w:val="17B64A1F"/>
    <w:rsid w:val="17C229BC"/>
    <w:rsid w:val="182A4EC1"/>
    <w:rsid w:val="1866724B"/>
    <w:rsid w:val="187A34BB"/>
    <w:rsid w:val="1958184A"/>
    <w:rsid w:val="1967359B"/>
    <w:rsid w:val="19B44692"/>
    <w:rsid w:val="19BD5DB2"/>
    <w:rsid w:val="1A78652D"/>
    <w:rsid w:val="1AD5150D"/>
    <w:rsid w:val="1B0506E2"/>
    <w:rsid w:val="1B0D101F"/>
    <w:rsid w:val="1B222459"/>
    <w:rsid w:val="1B301A6C"/>
    <w:rsid w:val="1B7656DE"/>
    <w:rsid w:val="1C103B5E"/>
    <w:rsid w:val="1C96074F"/>
    <w:rsid w:val="1CA33C9F"/>
    <w:rsid w:val="1CED54F9"/>
    <w:rsid w:val="1D115E6F"/>
    <w:rsid w:val="1D404691"/>
    <w:rsid w:val="1DB72CF9"/>
    <w:rsid w:val="1DE00697"/>
    <w:rsid w:val="1DE34B3F"/>
    <w:rsid w:val="1E206F43"/>
    <w:rsid w:val="1F2D0D03"/>
    <w:rsid w:val="1F381BCC"/>
    <w:rsid w:val="1F6956DF"/>
    <w:rsid w:val="1F8513EE"/>
    <w:rsid w:val="1FB308E1"/>
    <w:rsid w:val="202B4E2B"/>
    <w:rsid w:val="20547046"/>
    <w:rsid w:val="20E529DD"/>
    <w:rsid w:val="21B91F5E"/>
    <w:rsid w:val="223F279D"/>
    <w:rsid w:val="227712A8"/>
    <w:rsid w:val="22BC073D"/>
    <w:rsid w:val="22BC3549"/>
    <w:rsid w:val="22E27CDB"/>
    <w:rsid w:val="22F22FEA"/>
    <w:rsid w:val="23902475"/>
    <w:rsid w:val="23CA52D6"/>
    <w:rsid w:val="23CE5327"/>
    <w:rsid w:val="23D679A8"/>
    <w:rsid w:val="241C5F50"/>
    <w:rsid w:val="24267371"/>
    <w:rsid w:val="24634577"/>
    <w:rsid w:val="247D3C02"/>
    <w:rsid w:val="248B45BB"/>
    <w:rsid w:val="24C64E92"/>
    <w:rsid w:val="24DA2E7D"/>
    <w:rsid w:val="250760FB"/>
    <w:rsid w:val="251610A0"/>
    <w:rsid w:val="25BB5AF2"/>
    <w:rsid w:val="25C63729"/>
    <w:rsid w:val="25C93B97"/>
    <w:rsid w:val="25F80603"/>
    <w:rsid w:val="26520D85"/>
    <w:rsid w:val="26604343"/>
    <w:rsid w:val="26887917"/>
    <w:rsid w:val="26912F8F"/>
    <w:rsid w:val="26A7395C"/>
    <w:rsid w:val="26E77EBD"/>
    <w:rsid w:val="271369F4"/>
    <w:rsid w:val="27312AB5"/>
    <w:rsid w:val="2748105B"/>
    <w:rsid w:val="27B7772F"/>
    <w:rsid w:val="27C62DBA"/>
    <w:rsid w:val="27C942C1"/>
    <w:rsid w:val="28071F7F"/>
    <w:rsid w:val="281A55AD"/>
    <w:rsid w:val="28457E4D"/>
    <w:rsid w:val="288109DE"/>
    <w:rsid w:val="28880F7D"/>
    <w:rsid w:val="28885614"/>
    <w:rsid w:val="288E1755"/>
    <w:rsid w:val="28B5472C"/>
    <w:rsid w:val="28C675C2"/>
    <w:rsid w:val="28F01E2E"/>
    <w:rsid w:val="292E3676"/>
    <w:rsid w:val="29694CD4"/>
    <w:rsid w:val="297C6045"/>
    <w:rsid w:val="29974B73"/>
    <w:rsid w:val="29C413A9"/>
    <w:rsid w:val="29DA3942"/>
    <w:rsid w:val="2A1C1B46"/>
    <w:rsid w:val="2A4C19A4"/>
    <w:rsid w:val="2A6A4976"/>
    <w:rsid w:val="2AE50248"/>
    <w:rsid w:val="2B18299E"/>
    <w:rsid w:val="2B582DA4"/>
    <w:rsid w:val="2B7B1C5D"/>
    <w:rsid w:val="2BFF7E3B"/>
    <w:rsid w:val="2C214B77"/>
    <w:rsid w:val="2C2A767A"/>
    <w:rsid w:val="2C2C3E82"/>
    <w:rsid w:val="2C567FD4"/>
    <w:rsid w:val="2CB050A9"/>
    <w:rsid w:val="2CE97DB3"/>
    <w:rsid w:val="2CEC5B1D"/>
    <w:rsid w:val="2D2743BE"/>
    <w:rsid w:val="2D3B5B48"/>
    <w:rsid w:val="2D9B54FE"/>
    <w:rsid w:val="2DAF4A40"/>
    <w:rsid w:val="2DCC4A44"/>
    <w:rsid w:val="2DE312CD"/>
    <w:rsid w:val="2DE60832"/>
    <w:rsid w:val="2E0020EF"/>
    <w:rsid w:val="2E0D7B88"/>
    <w:rsid w:val="2E127196"/>
    <w:rsid w:val="2E790AA3"/>
    <w:rsid w:val="2E9C565B"/>
    <w:rsid w:val="2ED04027"/>
    <w:rsid w:val="2F1877C3"/>
    <w:rsid w:val="2F1F6DA3"/>
    <w:rsid w:val="2F223298"/>
    <w:rsid w:val="2F2A7AFD"/>
    <w:rsid w:val="2F314811"/>
    <w:rsid w:val="2F5D19C6"/>
    <w:rsid w:val="2F6634BE"/>
    <w:rsid w:val="2F934C85"/>
    <w:rsid w:val="2FC430EC"/>
    <w:rsid w:val="2FCA1EEB"/>
    <w:rsid w:val="2FE52642"/>
    <w:rsid w:val="300C1919"/>
    <w:rsid w:val="30360522"/>
    <w:rsid w:val="30825A7D"/>
    <w:rsid w:val="30864A77"/>
    <w:rsid w:val="30B63FAF"/>
    <w:rsid w:val="30C65F44"/>
    <w:rsid w:val="30F5600E"/>
    <w:rsid w:val="30F815C8"/>
    <w:rsid w:val="315B2216"/>
    <w:rsid w:val="31853836"/>
    <w:rsid w:val="31C13761"/>
    <w:rsid w:val="32237BFA"/>
    <w:rsid w:val="32A966E7"/>
    <w:rsid w:val="32C4261E"/>
    <w:rsid w:val="330E70A1"/>
    <w:rsid w:val="33900270"/>
    <w:rsid w:val="33931A89"/>
    <w:rsid w:val="33C71554"/>
    <w:rsid w:val="33ED7470"/>
    <w:rsid w:val="34555D7D"/>
    <w:rsid w:val="34A96146"/>
    <w:rsid w:val="34B22E6F"/>
    <w:rsid w:val="35142490"/>
    <w:rsid w:val="354377C2"/>
    <w:rsid w:val="355B43C0"/>
    <w:rsid w:val="35654187"/>
    <w:rsid w:val="35C41568"/>
    <w:rsid w:val="35E6776D"/>
    <w:rsid w:val="363C0059"/>
    <w:rsid w:val="369645F6"/>
    <w:rsid w:val="36DE3DE9"/>
    <w:rsid w:val="373316DA"/>
    <w:rsid w:val="37E05098"/>
    <w:rsid w:val="37F04CCB"/>
    <w:rsid w:val="38344990"/>
    <w:rsid w:val="389664A1"/>
    <w:rsid w:val="38E253BC"/>
    <w:rsid w:val="3902452F"/>
    <w:rsid w:val="395F5E05"/>
    <w:rsid w:val="396D5405"/>
    <w:rsid w:val="3ADE5C43"/>
    <w:rsid w:val="3B011B19"/>
    <w:rsid w:val="3B40182B"/>
    <w:rsid w:val="3BA82A38"/>
    <w:rsid w:val="3BBB2829"/>
    <w:rsid w:val="3BBE2A56"/>
    <w:rsid w:val="3C5B2DB3"/>
    <w:rsid w:val="3C9F3143"/>
    <w:rsid w:val="3CC5579B"/>
    <w:rsid w:val="3CD57C3C"/>
    <w:rsid w:val="3CDE7502"/>
    <w:rsid w:val="3CFC3BA5"/>
    <w:rsid w:val="3D322C64"/>
    <w:rsid w:val="3D58579F"/>
    <w:rsid w:val="3DD6337D"/>
    <w:rsid w:val="3DE20851"/>
    <w:rsid w:val="3E482B58"/>
    <w:rsid w:val="3E6058C7"/>
    <w:rsid w:val="3EB03E7A"/>
    <w:rsid w:val="3F1828A8"/>
    <w:rsid w:val="3F1C3A82"/>
    <w:rsid w:val="3F7FE99D"/>
    <w:rsid w:val="3FA1534A"/>
    <w:rsid w:val="400C03BD"/>
    <w:rsid w:val="401C293C"/>
    <w:rsid w:val="401E4DE6"/>
    <w:rsid w:val="402312B3"/>
    <w:rsid w:val="40316936"/>
    <w:rsid w:val="40436D96"/>
    <w:rsid w:val="40540563"/>
    <w:rsid w:val="40924180"/>
    <w:rsid w:val="40A04E29"/>
    <w:rsid w:val="40A71368"/>
    <w:rsid w:val="41BC046A"/>
    <w:rsid w:val="41DD0B24"/>
    <w:rsid w:val="421379E7"/>
    <w:rsid w:val="42AD011F"/>
    <w:rsid w:val="430738A1"/>
    <w:rsid w:val="431616AA"/>
    <w:rsid w:val="437B1833"/>
    <w:rsid w:val="43A74CF5"/>
    <w:rsid w:val="43EE1DB0"/>
    <w:rsid w:val="43FA7166"/>
    <w:rsid w:val="443471B8"/>
    <w:rsid w:val="44552CD8"/>
    <w:rsid w:val="44BC2DA3"/>
    <w:rsid w:val="45642893"/>
    <w:rsid w:val="45CC2006"/>
    <w:rsid w:val="45CF69D6"/>
    <w:rsid w:val="461478EE"/>
    <w:rsid w:val="464A5E88"/>
    <w:rsid w:val="46B419A3"/>
    <w:rsid w:val="46BC12B0"/>
    <w:rsid w:val="46F72710"/>
    <w:rsid w:val="472D2104"/>
    <w:rsid w:val="473320B8"/>
    <w:rsid w:val="4780181D"/>
    <w:rsid w:val="47C3438C"/>
    <w:rsid w:val="47EB2C0F"/>
    <w:rsid w:val="47F00147"/>
    <w:rsid w:val="482E032B"/>
    <w:rsid w:val="493E3129"/>
    <w:rsid w:val="49786C09"/>
    <w:rsid w:val="49B4618F"/>
    <w:rsid w:val="49F44538"/>
    <w:rsid w:val="4A472C7D"/>
    <w:rsid w:val="4A6B671F"/>
    <w:rsid w:val="4B26385C"/>
    <w:rsid w:val="4B4A5132"/>
    <w:rsid w:val="4B5E26A2"/>
    <w:rsid w:val="4B8059BB"/>
    <w:rsid w:val="4C0E4C0C"/>
    <w:rsid w:val="4C1E7E1B"/>
    <w:rsid w:val="4C3A25B0"/>
    <w:rsid w:val="4C547C35"/>
    <w:rsid w:val="4C66673F"/>
    <w:rsid w:val="4C913BEB"/>
    <w:rsid w:val="4CE17912"/>
    <w:rsid w:val="4CFB3A88"/>
    <w:rsid w:val="4D0542F6"/>
    <w:rsid w:val="4D0D105F"/>
    <w:rsid w:val="4D225808"/>
    <w:rsid w:val="4D957DB8"/>
    <w:rsid w:val="4DA166B7"/>
    <w:rsid w:val="4DD80552"/>
    <w:rsid w:val="4DE02AB8"/>
    <w:rsid w:val="4DFF23AB"/>
    <w:rsid w:val="4E026D99"/>
    <w:rsid w:val="4EAB6B3C"/>
    <w:rsid w:val="4EDA62C8"/>
    <w:rsid w:val="4F060CAD"/>
    <w:rsid w:val="4F0803BC"/>
    <w:rsid w:val="4F2B362C"/>
    <w:rsid w:val="4F977458"/>
    <w:rsid w:val="50342011"/>
    <w:rsid w:val="50481D63"/>
    <w:rsid w:val="505329DC"/>
    <w:rsid w:val="50780FD3"/>
    <w:rsid w:val="50E44FCC"/>
    <w:rsid w:val="512653FC"/>
    <w:rsid w:val="518E2652"/>
    <w:rsid w:val="52143055"/>
    <w:rsid w:val="52882639"/>
    <w:rsid w:val="5290134D"/>
    <w:rsid w:val="52983565"/>
    <w:rsid w:val="530A5872"/>
    <w:rsid w:val="5314011E"/>
    <w:rsid w:val="5365253A"/>
    <w:rsid w:val="53B10062"/>
    <w:rsid w:val="53C148FC"/>
    <w:rsid w:val="53EC49E8"/>
    <w:rsid w:val="547551B0"/>
    <w:rsid w:val="548C2A7C"/>
    <w:rsid w:val="54CB587F"/>
    <w:rsid w:val="54F735E1"/>
    <w:rsid w:val="55606494"/>
    <w:rsid w:val="557660BD"/>
    <w:rsid w:val="558E2409"/>
    <w:rsid w:val="56060C69"/>
    <w:rsid w:val="56253FEB"/>
    <w:rsid w:val="566B274A"/>
    <w:rsid w:val="5682123C"/>
    <w:rsid w:val="56A32240"/>
    <w:rsid w:val="571C1071"/>
    <w:rsid w:val="576F66FC"/>
    <w:rsid w:val="57B14FBA"/>
    <w:rsid w:val="57D53A34"/>
    <w:rsid w:val="57EA3B43"/>
    <w:rsid w:val="57FF6124"/>
    <w:rsid w:val="58285D4E"/>
    <w:rsid w:val="5832163D"/>
    <w:rsid w:val="583E326D"/>
    <w:rsid w:val="58762B4F"/>
    <w:rsid w:val="58B57CAD"/>
    <w:rsid w:val="5985769E"/>
    <w:rsid w:val="5A124C57"/>
    <w:rsid w:val="5A3732BC"/>
    <w:rsid w:val="5A4D1E35"/>
    <w:rsid w:val="5A5B5D26"/>
    <w:rsid w:val="5A761F3F"/>
    <w:rsid w:val="5A8D66DC"/>
    <w:rsid w:val="5A8E6C41"/>
    <w:rsid w:val="5AAE4B72"/>
    <w:rsid w:val="5B2E57C0"/>
    <w:rsid w:val="5B5753D2"/>
    <w:rsid w:val="5B6941BC"/>
    <w:rsid w:val="5B833CF8"/>
    <w:rsid w:val="5BA56DFE"/>
    <w:rsid w:val="5BCB7248"/>
    <w:rsid w:val="5BE94330"/>
    <w:rsid w:val="5C11114A"/>
    <w:rsid w:val="5C735C09"/>
    <w:rsid w:val="5C8F67BF"/>
    <w:rsid w:val="5C9A4891"/>
    <w:rsid w:val="5CB018CB"/>
    <w:rsid w:val="5D08272D"/>
    <w:rsid w:val="5D450C07"/>
    <w:rsid w:val="5D45481F"/>
    <w:rsid w:val="5D6F44A4"/>
    <w:rsid w:val="5DA426E1"/>
    <w:rsid w:val="5E1611EE"/>
    <w:rsid w:val="5E481F8E"/>
    <w:rsid w:val="5E752EBE"/>
    <w:rsid w:val="5E774BB2"/>
    <w:rsid w:val="5E962A5B"/>
    <w:rsid w:val="5F963C07"/>
    <w:rsid w:val="5F9B56EA"/>
    <w:rsid w:val="5FCC4F33"/>
    <w:rsid w:val="5FFA2D3A"/>
    <w:rsid w:val="5FFFED34"/>
    <w:rsid w:val="6015402A"/>
    <w:rsid w:val="605C0082"/>
    <w:rsid w:val="606F26E5"/>
    <w:rsid w:val="60970099"/>
    <w:rsid w:val="617D55D8"/>
    <w:rsid w:val="620D1B69"/>
    <w:rsid w:val="622C4CFB"/>
    <w:rsid w:val="624B04AF"/>
    <w:rsid w:val="6267229E"/>
    <w:rsid w:val="628577E0"/>
    <w:rsid w:val="62B850B1"/>
    <w:rsid w:val="62F37F59"/>
    <w:rsid w:val="63100CB0"/>
    <w:rsid w:val="63103F28"/>
    <w:rsid w:val="63134CAB"/>
    <w:rsid w:val="6322666A"/>
    <w:rsid w:val="63282AC2"/>
    <w:rsid w:val="6352150E"/>
    <w:rsid w:val="63FE24EE"/>
    <w:rsid w:val="64215BBC"/>
    <w:rsid w:val="643123C1"/>
    <w:rsid w:val="648E59BB"/>
    <w:rsid w:val="64B10238"/>
    <w:rsid w:val="64BC01EB"/>
    <w:rsid w:val="652F38F2"/>
    <w:rsid w:val="655707FC"/>
    <w:rsid w:val="65616874"/>
    <w:rsid w:val="65775B22"/>
    <w:rsid w:val="65D11E7C"/>
    <w:rsid w:val="65D75BA4"/>
    <w:rsid w:val="6619178A"/>
    <w:rsid w:val="66546D57"/>
    <w:rsid w:val="66D1307E"/>
    <w:rsid w:val="66D41EA0"/>
    <w:rsid w:val="678E6299"/>
    <w:rsid w:val="680029E0"/>
    <w:rsid w:val="681762F4"/>
    <w:rsid w:val="682A2C53"/>
    <w:rsid w:val="68600067"/>
    <w:rsid w:val="686E6F27"/>
    <w:rsid w:val="68EF2BE7"/>
    <w:rsid w:val="69080A16"/>
    <w:rsid w:val="69374710"/>
    <w:rsid w:val="694148C3"/>
    <w:rsid w:val="69511F4E"/>
    <w:rsid w:val="6A055367"/>
    <w:rsid w:val="6A450DAF"/>
    <w:rsid w:val="6B1E603A"/>
    <w:rsid w:val="6BA5372F"/>
    <w:rsid w:val="6C1E029C"/>
    <w:rsid w:val="6C29130F"/>
    <w:rsid w:val="6C2A3C17"/>
    <w:rsid w:val="6C9A46A6"/>
    <w:rsid w:val="6D741D8B"/>
    <w:rsid w:val="6D781E34"/>
    <w:rsid w:val="6D88716D"/>
    <w:rsid w:val="6DAB6010"/>
    <w:rsid w:val="6E535698"/>
    <w:rsid w:val="6E6D62A2"/>
    <w:rsid w:val="6E76515D"/>
    <w:rsid w:val="6E813EE8"/>
    <w:rsid w:val="6E9B7912"/>
    <w:rsid w:val="6EB011EB"/>
    <w:rsid w:val="6EBC7D96"/>
    <w:rsid w:val="6ED459E0"/>
    <w:rsid w:val="6EFC675C"/>
    <w:rsid w:val="6F432B17"/>
    <w:rsid w:val="6F5F7B98"/>
    <w:rsid w:val="6F7E2971"/>
    <w:rsid w:val="6FC969C9"/>
    <w:rsid w:val="6FCD1CB9"/>
    <w:rsid w:val="6FD35191"/>
    <w:rsid w:val="6FF078A7"/>
    <w:rsid w:val="6FF97201"/>
    <w:rsid w:val="706F300D"/>
    <w:rsid w:val="709712A0"/>
    <w:rsid w:val="70E138DD"/>
    <w:rsid w:val="70EA7663"/>
    <w:rsid w:val="71193970"/>
    <w:rsid w:val="712327E2"/>
    <w:rsid w:val="71367DC0"/>
    <w:rsid w:val="714409B3"/>
    <w:rsid w:val="715916C6"/>
    <w:rsid w:val="715E598A"/>
    <w:rsid w:val="719F0F29"/>
    <w:rsid w:val="71AB38EC"/>
    <w:rsid w:val="71CA0FD9"/>
    <w:rsid w:val="71D56432"/>
    <w:rsid w:val="72251164"/>
    <w:rsid w:val="722E59ED"/>
    <w:rsid w:val="723A649E"/>
    <w:rsid w:val="72455CC7"/>
    <w:rsid w:val="724F64CE"/>
    <w:rsid w:val="726263EC"/>
    <w:rsid w:val="72656E9A"/>
    <w:rsid w:val="72693B8A"/>
    <w:rsid w:val="72715693"/>
    <w:rsid w:val="72744612"/>
    <w:rsid w:val="727617BD"/>
    <w:rsid w:val="72C55C32"/>
    <w:rsid w:val="72DA5225"/>
    <w:rsid w:val="73000A69"/>
    <w:rsid w:val="733F4693"/>
    <w:rsid w:val="739C4339"/>
    <w:rsid w:val="747D3818"/>
    <w:rsid w:val="74A97747"/>
    <w:rsid w:val="74AE4B92"/>
    <w:rsid w:val="74B91D9B"/>
    <w:rsid w:val="74C11EDB"/>
    <w:rsid w:val="751C0AC1"/>
    <w:rsid w:val="75242691"/>
    <w:rsid w:val="753F3988"/>
    <w:rsid w:val="754F6912"/>
    <w:rsid w:val="75635569"/>
    <w:rsid w:val="75AC2413"/>
    <w:rsid w:val="75EF6FFA"/>
    <w:rsid w:val="76175271"/>
    <w:rsid w:val="764346F2"/>
    <w:rsid w:val="765C57B4"/>
    <w:rsid w:val="767A147A"/>
    <w:rsid w:val="76A77EEE"/>
    <w:rsid w:val="76A821C8"/>
    <w:rsid w:val="76B9169E"/>
    <w:rsid w:val="76BB1A44"/>
    <w:rsid w:val="76CA1740"/>
    <w:rsid w:val="770E1D3B"/>
    <w:rsid w:val="77565843"/>
    <w:rsid w:val="77742CBC"/>
    <w:rsid w:val="77873D3C"/>
    <w:rsid w:val="781F0766"/>
    <w:rsid w:val="7847323B"/>
    <w:rsid w:val="788654C1"/>
    <w:rsid w:val="788D09BC"/>
    <w:rsid w:val="78BF0AD6"/>
    <w:rsid w:val="78CB76F8"/>
    <w:rsid w:val="790463BB"/>
    <w:rsid w:val="79314CD6"/>
    <w:rsid w:val="79374770"/>
    <w:rsid w:val="796B3CB7"/>
    <w:rsid w:val="796F7520"/>
    <w:rsid w:val="79806EF2"/>
    <w:rsid w:val="79A45E6F"/>
    <w:rsid w:val="79D63FCF"/>
    <w:rsid w:val="79DD4482"/>
    <w:rsid w:val="79E62A1A"/>
    <w:rsid w:val="7A4A59F9"/>
    <w:rsid w:val="7A4B39AC"/>
    <w:rsid w:val="7A5E1AFB"/>
    <w:rsid w:val="7ABA59C7"/>
    <w:rsid w:val="7ABB1DEA"/>
    <w:rsid w:val="7AF53B6F"/>
    <w:rsid w:val="7B0E2302"/>
    <w:rsid w:val="7B1E6465"/>
    <w:rsid w:val="7B221334"/>
    <w:rsid w:val="7B352339"/>
    <w:rsid w:val="7B600E1D"/>
    <w:rsid w:val="7B81277A"/>
    <w:rsid w:val="7BAF4BF1"/>
    <w:rsid w:val="7C45231B"/>
    <w:rsid w:val="7C460A98"/>
    <w:rsid w:val="7C941A08"/>
    <w:rsid w:val="7CC03579"/>
    <w:rsid w:val="7D0139BA"/>
    <w:rsid w:val="7DB73D75"/>
    <w:rsid w:val="7DC2070D"/>
    <w:rsid w:val="7E057301"/>
    <w:rsid w:val="7E375022"/>
    <w:rsid w:val="7E4F799B"/>
    <w:rsid w:val="7E633B84"/>
    <w:rsid w:val="7EAE4002"/>
    <w:rsid w:val="7F073DC5"/>
    <w:rsid w:val="7F2C0897"/>
    <w:rsid w:val="7F68565F"/>
    <w:rsid w:val="7F864D20"/>
    <w:rsid w:val="7FD544BF"/>
    <w:rsid w:val="7FEC50DC"/>
    <w:rsid w:val="ABEE5279"/>
    <w:rsid w:val="C77D43C1"/>
    <w:rsid w:val="D5175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560" w:lineRule="exact"/>
      <w:ind w:firstLine="880" w:firstLineChars="200"/>
      <w:jc w:val="both"/>
    </w:pPr>
    <w:rPr>
      <w:rFonts w:ascii="Times New Roman" w:hAnsi="Times New Roman" w:eastAsia="仿宋_GB2312" w:cs="宋体"/>
      <w:sz w:val="30"/>
      <w:szCs w:val="30"/>
      <w:lang w:val="en-US" w:eastAsia="zh-CN" w:bidi="ar-SA"/>
    </w:rPr>
  </w:style>
  <w:style w:type="paragraph" w:styleId="3">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widowControl w:val="0"/>
      <w:spacing w:before="260" w:after="260" w:line="416" w:lineRule="auto"/>
      <w:jc w:val="both"/>
      <w:outlineLvl w:val="2"/>
    </w:pPr>
    <w:rPr>
      <w:rFonts w:ascii="等线" w:hAnsi="等线" w:eastAsia="等线" w:cs="Times New Roman"/>
      <w:b/>
      <w:bCs/>
      <w:kern w:val="2"/>
      <w:sz w:val="32"/>
      <w:szCs w:val="32"/>
    </w:rPr>
  </w:style>
  <w:style w:type="paragraph" w:styleId="6">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2"/>
    <w:unhideWhenUsed/>
    <w:qFormat/>
    <w:uiPriority w:val="99"/>
    <w:pPr>
      <w:widowControl w:val="0"/>
      <w:spacing w:after="120"/>
      <w:jc w:val="both"/>
    </w:pPr>
    <w:rPr>
      <w:rFonts w:ascii="等线" w:hAnsi="等线" w:eastAsia="等线" w:cs="Times New Roman"/>
      <w:kern w:val="2"/>
      <w:sz w:val="21"/>
      <w:szCs w:val="22"/>
    </w:rPr>
  </w:style>
  <w:style w:type="paragraph" w:styleId="7">
    <w:name w:val="annotation text"/>
    <w:basedOn w:val="1"/>
    <w:semiHidden/>
    <w:unhideWhenUsed/>
    <w:qFormat/>
    <w:uiPriority w:val="99"/>
  </w:style>
  <w:style w:type="paragraph" w:styleId="8">
    <w:name w:val="toc 3"/>
    <w:basedOn w:val="1"/>
    <w:next w:val="1"/>
    <w:unhideWhenUsed/>
    <w:qFormat/>
    <w:uiPriority w:val="39"/>
    <w:pPr>
      <w:widowControl w:val="0"/>
      <w:ind w:left="840" w:leftChars="400"/>
      <w:jc w:val="both"/>
    </w:pPr>
    <w:rPr>
      <w:rFonts w:ascii="等线" w:hAnsi="等线" w:eastAsia="等线" w:cs="Times New Roman"/>
      <w:kern w:val="2"/>
      <w:sz w:val="21"/>
      <w:szCs w:val="22"/>
    </w:rPr>
  </w:style>
  <w:style w:type="paragraph" w:styleId="9">
    <w:name w:val="Date"/>
    <w:basedOn w:val="1"/>
    <w:next w:val="1"/>
    <w:link w:val="27"/>
    <w:semiHidden/>
    <w:unhideWhenUsed/>
    <w:qFormat/>
    <w:uiPriority w:val="99"/>
    <w:pPr>
      <w:widowControl w:val="0"/>
      <w:ind w:left="100" w:leftChars="2500"/>
      <w:jc w:val="both"/>
    </w:pPr>
    <w:rPr>
      <w:rFonts w:ascii="等线" w:hAnsi="等线" w:eastAsia="等线" w:cs="Times New Roman"/>
      <w:kern w:val="2"/>
      <w:sz w:val="21"/>
      <w:szCs w:val="22"/>
    </w:rPr>
  </w:style>
  <w:style w:type="paragraph" w:styleId="10">
    <w:name w:val="Balloon Text"/>
    <w:basedOn w:val="1"/>
    <w:link w:val="26"/>
    <w:semiHidden/>
    <w:unhideWhenUsed/>
    <w:qFormat/>
    <w:uiPriority w:val="99"/>
    <w:pPr>
      <w:widowControl w:val="0"/>
      <w:jc w:val="both"/>
    </w:pPr>
    <w:rPr>
      <w:rFonts w:ascii="等线" w:hAnsi="等线" w:eastAsia="等线" w:cs="Times New Roman"/>
      <w:kern w:val="2"/>
      <w:sz w:val="18"/>
      <w:szCs w:val="18"/>
    </w:rPr>
  </w:style>
  <w:style w:type="paragraph" w:styleId="11">
    <w:name w:val="footer"/>
    <w:basedOn w:val="1"/>
    <w:link w:val="25"/>
    <w:unhideWhenUsed/>
    <w:qFormat/>
    <w:uiPriority w:val="99"/>
    <w:pPr>
      <w:widowControl w:val="0"/>
      <w:tabs>
        <w:tab w:val="center" w:pos="4153"/>
        <w:tab w:val="right" w:pos="8306"/>
      </w:tabs>
      <w:snapToGrid w:val="0"/>
    </w:pPr>
    <w:rPr>
      <w:rFonts w:ascii="等线" w:hAnsi="等线" w:eastAsia="等线" w:cs="Times New Roman"/>
      <w:kern w:val="2"/>
      <w:sz w:val="18"/>
      <w:szCs w:val="18"/>
    </w:rPr>
  </w:style>
  <w:style w:type="paragraph" w:styleId="12">
    <w:name w:val="header"/>
    <w:basedOn w:val="1"/>
    <w:link w:val="24"/>
    <w:unhideWhenUsed/>
    <w:qFormat/>
    <w:uiPriority w:val="99"/>
    <w:pPr>
      <w:widowControl w:val="0"/>
      <w:pBdr>
        <w:bottom w:val="single" w:color="auto" w:sz="6" w:space="1"/>
      </w:pBdr>
      <w:tabs>
        <w:tab w:val="center" w:pos="4153"/>
        <w:tab w:val="right" w:pos="8306"/>
      </w:tabs>
      <w:snapToGrid w:val="0"/>
      <w:jc w:val="center"/>
    </w:pPr>
    <w:rPr>
      <w:rFonts w:ascii="等线" w:hAnsi="等线" w:eastAsia="等线" w:cs="Times New Roman"/>
      <w:kern w:val="2"/>
      <w:sz w:val="18"/>
      <w:szCs w:val="18"/>
    </w:rPr>
  </w:style>
  <w:style w:type="paragraph" w:styleId="13">
    <w:name w:val="toc 1"/>
    <w:basedOn w:val="1"/>
    <w:next w:val="1"/>
    <w:unhideWhenUsed/>
    <w:qFormat/>
    <w:uiPriority w:val="39"/>
    <w:pPr>
      <w:widowControl w:val="0"/>
      <w:tabs>
        <w:tab w:val="right" w:leader="dot" w:pos="8724"/>
      </w:tabs>
      <w:spacing w:line="600" w:lineRule="exact"/>
      <w:jc w:val="both"/>
    </w:pPr>
    <w:rPr>
      <w:rFonts w:ascii="等线" w:hAnsi="等线" w:eastAsia="等线" w:cs="Times New Roman"/>
      <w:kern w:val="2"/>
      <w:sz w:val="21"/>
      <w:szCs w:val="22"/>
    </w:rPr>
  </w:style>
  <w:style w:type="paragraph" w:styleId="14">
    <w:name w:val="footnote text"/>
    <w:basedOn w:val="1"/>
    <w:link w:val="42"/>
    <w:semiHidden/>
    <w:unhideWhenUsed/>
    <w:qFormat/>
    <w:uiPriority w:val="99"/>
    <w:pPr>
      <w:widowControl w:val="0"/>
      <w:snapToGrid w:val="0"/>
    </w:pPr>
    <w:rPr>
      <w:rFonts w:ascii="等线" w:hAnsi="等线" w:eastAsia="等线" w:cs="Times New Roman"/>
      <w:kern w:val="2"/>
      <w:sz w:val="18"/>
      <w:szCs w:val="18"/>
    </w:rPr>
  </w:style>
  <w:style w:type="paragraph" w:styleId="15">
    <w:name w:val="toc 2"/>
    <w:basedOn w:val="1"/>
    <w:next w:val="1"/>
    <w:unhideWhenUsed/>
    <w:qFormat/>
    <w:uiPriority w:val="39"/>
    <w:pPr>
      <w:widowControl w:val="0"/>
      <w:tabs>
        <w:tab w:val="right" w:leader="dot" w:pos="8724"/>
      </w:tabs>
      <w:ind w:left="420" w:leftChars="200"/>
      <w:jc w:val="both"/>
    </w:pPr>
    <w:rPr>
      <w:rFonts w:ascii="方正楷体_GBK" w:hAnsi="方正楷体_GBK" w:eastAsia="方正楷体_GBK" w:cs="方正楷体_GBK"/>
      <w:sz w:val="21"/>
      <w:szCs w:val="22"/>
    </w:rPr>
  </w:style>
  <w:style w:type="paragraph" w:styleId="16">
    <w:name w:val="Body Text First Indent"/>
    <w:basedOn w:val="2"/>
    <w:link w:val="33"/>
    <w:qFormat/>
    <w:uiPriority w:val="0"/>
    <w:pPr>
      <w:ind w:firstLine="420" w:firstLineChars="100"/>
    </w:pPr>
    <w:rPr>
      <w:rFonts w:ascii="Times New Roman" w:hAnsi="Times New Roman" w:eastAsia="楷体"/>
      <w:sz w:val="28"/>
      <w:szCs w:val="24"/>
    </w:rPr>
  </w:style>
  <w:style w:type="table" w:styleId="18">
    <w:name w:val="Table Grid"/>
    <w:basedOn w:val="1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unhideWhenUsed/>
    <w:qFormat/>
    <w:uiPriority w:val="99"/>
    <w:rPr>
      <w:color w:val="0000FF"/>
      <w:u w:val="single"/>
    </w:rPr>
  </w:style>
  <w:style w:type="character" w:styleId="21">
    <w:name w:val="annotation reference"/>
    <w:basedOn w:val="19"/>
    <w:semiHidden/>
    <w:unhideWhenUsed/>
    <w:qFormat/>
    <w:uiPriority w:val="99"/>
    <w:rPr>
      <w:sz w:val="21"/>
      <w:szCs w:val="21"/>
    </w:rPr>
  </w:style>
  <w:style w:type="character" w:styleId="22">
    <w:name w:val="footnote reference"/>
    <w:basedOn w:val="19"/>
    <w:semiHidden/>
    <w:unhideWhenUsed/>
    <w:qFormat/>
    <w:uiPriority w:val="99"/>
    <w:rPr>
      <w:vertAlign w:val="superscript"/>
    </w:rPr>
  </w:style>
  <w:style w:type="paragraph" w:styleId="23">
    <w:name w:val="List Paragraph"/>
    <w:basedOn w:val="1"/>
    <w:qFormat/>
    <w:uiPriority w:val="34"/>
    <w:pPr>
      <w:widowControl w:val="0"/>
      <w:ind w:firstLine="420" w:firstLineChars="200"/>
      <w:jc w:val="both"/>
    </w:pPr>
    <w:rPr>
      <w:rFonts w:ascii="等线" w:hAnsi="等线" w:eastAsia="等线" w:cs="Times New Roman"/>
      <w:kern w:val="2"/>
      <w:sz w:val="21"/>
      <w:szCs w:val="22"/>
    </w:rPr>
  </w:style>
  <w:style w:type="character" w:customStyle="1" w:styleId="24">
    <w:name w:val="页眉 Char"/>
    <w:basedOn w:val="19"/>
    <w:link w:val="12"/>
    <w:qFormat/>
    <w:uiPriority w:val="99"/>
    <w:rPr>
      <w:rFonts w:ascii="等线" w:hAnsi="等线" w:eastAsia="等线" w:cs="Times New Roman"/>
      <w:sz w:val="18"/>
      <w:szCs w:val="18"/>
    </w:rPr>
  </w:style>
  <w:style w:type="character" w:customStyle="1" w:styleId="25">
    <w:name w:val="页脚 Char"/>
    <w:basedOn w:val="19"/>
    <w:link w:val="11"/>
    <w:qFormat/>
    <w:uiPriority w:val="99"/>
    <w:rPr>
      <w:rFonts w:ascii="等线" w:hAnsi="等线" w:eastAsia="等线" w:cs="Times New Roman"/>
      <w:sz w:val="18"/>
      <w:szCs w:val="18"/>
    </w:rPr>
  </w:style>
  <w:style w:type="character" w:customStyle="1" w:styleId="26">
    <w:name w:val="批注框文本 Char"/>
    <w:basedOn w:val="19"/>
    <w:link w:val="10"/>
    <w:semiHidden/>
    <w:qFormat/>
    <w:uiPriority w:val="99"/>
    <w:rPr>
      <w:rFonts w:ascii="等线" w:hAnsi="等线" w:eastAsia="等线" w:cs="Times New Roman"/>
      <w:sz w:val="18"/>
      <w:szCs w:val="18"/>
    </w:rPr>
  </w:style>
  <w:style w:type="character" w:customStyle="1" w:styleId="27">
    <w:name w:val="日期 Char"/>
    <w:basedOn w:val="19"/>
    <w:link w:val="9"/>
    <w:semiHidden/>
    <w:qFormat/>
    <w:uiPriority w:val="99"/>
    <w:rPr>
      <w:rFonts w:ascii="等线" w:hAnsi="等线" w:eastAsia="等线" w:cs="Times New Roman"/>
    </w:rPr>
  </w:style>
  <w:style w:type="paragraph" w:customStyle="1" w:styleId="28">
    <w:name w:val="正文1"/>
    <w:basedOn w:val="1"/>
    <w:qFormat/>
    <w:uiPriority w:val="0"/>
    <w:pPr>
      <w:spacing w:before="240" w:after="240" w:line="300" w:lineRule="auto"/>
      <w:ind w:firstLine="200" w:firstLineChars="200"/>
    </w:pPr>
    <w:rPr>
      <w:rFonts w:ascii="Times New Roman" w:hAnsi="Times New Roman" w:eastAsia="仿宋"/>
      <w:sz w:val="28"/>
      <w:szCs w:val="28"/>
    </w:rPr>
  </w:style>
  <w:style w:type="character" w:customStyle="1" w:styleId="29">
    <w:name w:val="标题 1 Char"/>
    <w:basedOn w:val="19"/>
    <w:link w:val="3"/>
    <w:qFormat/>
    <w:uiPriority w:val="9"/>
    <w:rPr>
      <w:rFonts w:ascii="宋体" w:hAnsi="宋体" w:eastAsia="宋体" w:cs="宋体"/>
      <w:b/>
      <w:bCs/>
      <w:kern w:val="44"/>
      <w:sz w:val="44"/>
      <w:szCs w:val="44"/>
    </w:rPr>
  </w:style>
  <w:style w:type="character" w:customStyle="1" w:styleId="30">
    <w:name w:val="标题 2 Char"/>
    <w:basedOn w:val="19"/>
    <w:link w:val="4"/>
    <w:qFormat/>
    <w:uiPriority w:val="9"/>
    <w:rPr>
      <w:rFonts w:asciiTheme="majorHAnsi" w:hAnsiTheme="majorHAnsi" w:eastAsiaTheme="majorEastAsia" w:cstheme="majorBidi"/>
      <w:b/>
      <w:bCs/>
      <w:kern w:val="0"/>
      <w:sz w:val="32"/>
      <w:szCs w:val="32"/>
    </w:rPr>
  </w:style>
  <w:style w:type="character" w:customStyle="1" w:styleId="31">
    <w:name w:val="标题 3 Char"/>
    <w:basedOn w:val="19"/>
    <w:link w:val="5"/>
    <w:qFormat/>
    <w:uiPriority w:val="9"/>
    <w:rPr>
      <w:rFonts w:ascii="等线" w:hAnsi="等线" w:eastAsia="等线" w:cs="Times New Roman"/>
      <w:b/>
      <w:bCs/>
      <w:sz w:val="32"/>
      <w:szCs w:val="32"/>
    </w:rPr>
  </w:style>
  <w:style w:type="character" w:customStyle="1" w:styleId="32">
    <w:name w:val="正文文本 Char"/>
    <w:basedOn w:val="19"/>
    <w:link w:val="2"/>
    <w:qFormat/>
    <w:uiPriority w:val="99"/>
    <w:rPr>
      <w:rFonts w:ascii="等线" w:hAnsi="等线" w:eastAsia="等线" w:cs="Times New Roman"/>
    </w:rPr>
  </w:style>
  <w:style w:type="character" w:customStyle="1" w:styleId="33">
    <w:name w:val="正文首行缩进 Char"/>
    <w:basedOn w:val="32"/>
    <w:link w:val="16"/>
    <w:qFormat/>
    <w:uiPriority w:val="0"/>
    <w:rPr>
      <w:rFonts w:ascii="Times New Roman" w:hAnsi="Times New Roman" w:eastAsia="楷体" w:cs="Times New Roman"/>
      <w:sz w:val="28"/>
      <w:szCs w:val="24"/>
    </w:rPr>
  </w:style>
  <w:style w:type="character" w:customStyle="1" w:styleId="34">
    <w:name w:val="font01"/>
    <w:basedOn w:val="19"/>
    <w:qFormat/>
    <w:uiPriority w:val="0"/>
    <w:rPr>
      <w:rFonts w:hint="eastAsia" w:ascii="宋体" w:hAnsi="宋体" w:eastAsia="宋体" w:cs="宋体"/>
      <w:color w:val="000000"/>
      <w:sz w:val="22"/>
      <w:szCs w:val="22"/>
      <w:u w:val="none"/>
    </w:rPr>
  </w:style>
  <w:style w:type="character" w:customStyle="1" w:styleId="35">
    <w:name w:val="font11"/>
    <w:basedOn w:val="19"/>
    <w:qFormat/>
    <w:uiPriority w:val="0"/>
    <w:rPr>
      <w:rFonts w:hint="eastAsia" w:ascii="宋体" w:hAnsi="宋体" w:eastAsia="宋体" w:cs="宋体"/>
      <w:color w:val="000000"/>
      <w:sz w:val="24"/>
      <w:szCs w:val="24"/>
      <w:u w:val="none"/>
    </w:rPr>
  </w:style>
  <w:style w:type="character" w:customStyle="1" w:styleId="36">
    <w:name w:val="font21"/>
    <w:basedOn w:val="19"/>
    <w:qFormat/>
    <w:uiPriority w:val="0"/>
    <w:rPr>
      <w:rFonts w:hint="default" w:ascii="Times New Roman" w:hAnsi="Times New Roman" w:cs="Times New Roman"/>
      <w:color w:val="000000"/>
      <w:sz w:val="18"/>
      <w:szCs w:val="18"/>
      <w:u w:val="none"/>
    </w:rPr>
  </w:style>
  <w:style w:type="character" w:customStyle="1" w:styleId="37">
    <w:name w:val="font31"/>
    <w:basedOn w:val="19"/>
    <w:qFormat/>
    <w:uiPriority w:val="0"/>
    <w:rPr>
      <w:rFonts w:hint="default" w:ascii="Times New Roman" w:hAnsi="Times New Roman" w:cs="Times New Roman"/>
      <w:color w:val="000000"/>
      <w:sz w:val="18"/>
      <w:szCs w:val="18"/>
      <w:u w:val="none"/>
    </w:rPr>
  </w:style>
  <w:style w:type="character" w:customStyle="1" w:styleId="38">
    <w:name w:val="font41"/>
    <w:basedOn w:val="19"/>
    <w:qFormat/>
    <w:uiPriority w:val="0"/>
    <w:rPr>
      <w:rFonts w:hint="eastAsia" w:ascii="宋体" w:hAnsi="宋体" w:eastAsia="宋体" w:cs="宋体"/>
      <w:b/>
      <w:color w:val="000000"/>
      <w:sz w:val="18"/>
      <w:szCs w:val="18"/>
      <w:u w:val="none"/>
    </w:rPr>
  </w:style>
  <w:style w:type="character" w:customStyle="1" w:styleId="39">
    <w:name w:val="font51"/>
    <w:basedOn w:val="19"/>
    <w:qFormat/>
    <w:uiPriority w:val="0"/>
    <w:rPr>
      <w:rFonts w:hint="eastAsia" w:ascii="宋体" w:hAnsi="宋体" w:eastAsia="宋体" w:cs="宋体"/>
      <w:color w:val="000000"/>
      <w:sz w:val="18"/>
      <w:szCs w:val="18"/>
      <w:u w:val="none"/>
    </w:rPr>
  </w:style>
  <w:style w:type="character" w:customStyle="1" w:styleId="40">
    <w:name w:val="font71"/>
    <w:basedOn w:val="19"/>
    <w:qFormat/>
    <w:uiPriority w:val="0"/>
    <w:rPr>
      <w:rFonts w:hint="eastAsia" w:ascii="宋体" w:hAnsi="宋体" w:eastAsia="宋体" w:cs="宋体"/>
      <w:color w:val="000000"/>
      <w:sz w:val="15"/>
      <w:szCs w:val="15"/>
      <w:u w:val="none"/>
    </w:rPr>
  </w:style>
  <w:style w:type="paragraph" w:customStyle="1" w:styleId="41">
    <w:name w:val="TOC 标题1"/>
    <w:basedOn w:val="3"/>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2">
    <w:name w:val="脚注文本 Char"/>
    <w:basedOn w:val="19"/>
    <w:link w:val="14"/>
    <w:semiHidden/>
    <w:qFormat/>
    <w:uiPriority w:val="99"/>
    <w:rPr>
      <w:rFonts w:ascii="等线" w:hAnsi="等线" w:eastAsia="等线"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SkyUN.Org</Company>
  <Pages>31</Pages>
  <Words>12540</Words>
  <Characters>13809</Characters>
  <Lines>138</Lines>
  <Paragraphs>38</Paragraphs>
  <TotalTime>13</TotalTime>
  <ScaleCrop>false</ScaleCrop>
  <LinksUpToDate>false</LinksUpToDate>
  <CharactersWithSpaces>14004</CharactersWithSpaces>
  <Application>WPS Office_11.1.0.12650_F1E327BC-269C-435d-A152-05C5408002CA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2023-03-09T03:12:00Z</dcterms:created>
  <dc:creator>liu zengli</dc:creator>
  <cp:lastModifiedBy>微微依笑</cp:lastModifiedBy>
  <cp:lastPrinted>2022-11-11T00:09:00Z</cp:lastPrinted>
  <dcterms:modified xsi:type="dcterms:W3CDTF">2023-03-23T08:03:11Z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344691556_embed</vt:lpwstr>
  </property>
  <property fmtid="{D5CDD505-2E9C-101B-9397-08002B2CF9AE}" pid="3" name="KSOProductBuildVer">
    <vt:lpwstr>2052-11.1.0.12650</vt:lpwstr>
  </property>
  <property fmtid="{D5CDD505-2E9C-101B-9397-08002B2CF9AE}" pid="4" name="ICV">
    <vt:lpwstr>745C27BCC7C0472BB09D525C9859FCE3</vt:lpwstr>
  </property>
</Properties>
</file>