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339090</wp:posOffset>
            </wp:positionV>
            <wp:extent cx="1249680" cy="5151755"/>
            <wp:effectExtent l="0" t="0" r="0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-1221" t="-166" r="1221" b="16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1、揭阳市雅迪高五金塑胶有限公司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商标：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2、揭阳市奇胜五金塑料实业有限公司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商标：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3、揭阳市银炜食品机械有限公司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商标：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揭</w:t>
      </w:r>
      <w:r>
        <w:rPr>
          <w:rFonts w:hint="eastAsia" w:ascii="仿宋" w:hAnsi="仿宋" w:eastAsia="仿宋"/>
          <w:sz w:val="32"/>
          <w:szCs w:val="32"/>
        </w:rPr>
        <w:t>阳市天籁电声器材有限公司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5、广东中电华强变压器有限公司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6、揭阳市信达纸业有限公司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7、普宁市京汕密封件有限公司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8、揭阳海兴塑胶有限公司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9、广东名鼠服饰有限公司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商标：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10、卢建文（注册人）、揭阳市德发玩具有限公司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独占</w:t>
      </w:r>
      <w:r>
        <w:rPr>
          <w:rFonts w:hint="eastAsia" w:ascii="仿宋" w:hAnsi="仿宋" w:eastAsia="仿宋"/>
          <w:sz w:val="32"/>
          <w:szCs w:val="32"/>
        </w:rPr>
        <w:t>被许可人）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商标：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11、揭阳市港荣食品发展有限公司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商标：</w:t>
      </w:r>
    </w:p>
    <w:p>
      <w:r>
        <w:rPr>
          <w:rFonts w:hint="eastAsia" w:ascii="仿宋" w:hAnsi="仿宋" w:eastAsia="仿宋"/>
          <w:sz w:val="32"/>
          <w:szCs w:val="32"/>
        </w:rPr>
        <w:t>12、揭阳市龙泉食品有限公司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商标：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jkzYzJmOGRkNzdlN2QxYWVhNjQxYzk4MzczZjQifQ=="/>
  </w:docVars>
  <w:rsids>
    <w:rsidRoot w:val="59580593"/>
    <w:rsid w:val="5958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2022-12-23T03:38:00Z</dcterms:created>
  <dc:creator>Administrator</dc:creator>
  <cp:lastModifiedBy>Administrator</cp:lastModifiedBy>
  <dcterms:modified xsi:type="dcterms:W3CDTF">2022-12-23T03:38:23Z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FD13AE98CADA45899A381DF270757CEA</vt:lpwstr>
  </property>
</Properties>
</file>