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E3" w:rsidRPr="00FB25E3" w:rsidRDefault="00FB25E3" w:rsidP="00FB25E3">
      <w:pPr>
        <w:adjustRightInd w:val="0"/>
        <w:snapToGrid w:val="0"/>
        <w:outlineLvl w:val="0"/>
        <w:rPr>
          <w:rFonts w:eastAsia="方正黑体简体"/>
          <w:sz w:val="32"/>
          <w:szCs w:val="32"/>
          <w:lang w:eastAsia="zh-CN"/>
        </w:rPr>
      </w:pPr>
      <w:r w:rsidRPr="00FB25E3">
        <w:rPr>
          <w:rFonts w:eastAsia="方正黑体简体"/>
          <w:sz w:val="32"/>
          <w:szCs w:val="32"/>
          <w:lang w:eastAsia="zh-CN"/>
        </w:rPr>
        <w:t>附件</w:t>
      </w:r>
      <w:r w:rsidRPr="00FB25E3">
        <w:rPr>
          <w:rFonts w:eastAsia="方正黑体简体"/>
          <w:sz w:val="32"/>
          <w:szCs w:val="32"/>
          <w:lang w:eastAsia="zh-CN"/>
        </w:rPr>
        <w:t>5</w:t>
      </w:r>
    </w:p>
    <w:p w:rsidR="00FB25E3" w:rsidRDefault="00FB25E3" w:rsidP="00FB25E3">
      <w:pPr>
        <w:widowControl/>
        <w:adjustRightInd w:val="0"/>
        <w:snapToGrid w:val="0"/>
        <w:jc w:val="center"/>
        <w:textAlignment w:val="center"/>
        <w:rPr>
          <w:rFonts w:ascii="方正小标宋简体" w:eastAsia="方正小标宋简体" w:hAnsi="方正小标宋简体" w:cs="方正小标宋简体"/>
          <w:sz w:val="32"/>
          <w:szCs w:val="32"/>
          <w:lang w:eastAsia="zh-CN" w:bidi="ar"/>
        </w:rPr>
      </w:pPr>
    </w:p>
    <w:p w:rsidR="00FB25E3" w:rsidRDefault="002C0ADD" w:rsidP="00FB25E3">
      <w:pPr>
        <w:widowControl/>
        <w:adjustRightInd w:val="0"/>
        <w:snapToGrid w:val="0"/>
        <w:jc w:val="center"/>
        <w:textAlignment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 w:bidi="ar"/>
        </w:rPr>
      </w:pPr>
      <w:r w:rsidRPr="002C0ADD"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 w:bidi="ar"/>
        </w:rPr>
        <w:t>揭阳市工程技术研究中心考核评价指标体系</w:t>
      </w:r>
    </w:p>
    <w:p w:rsidR="00FB25E3" w:rsidRDefault="00FB25E3" w:rsidP="00FB25E3">
      <w:pPr>
        <w:widowControl/>
        <w:adjustRightInd w:val="0"/>
        <w:snapToGrid w:val="0"/>
        <w:jc w:val="center"/>
        <w:textAlignment w:val="center"/>
        <w:rPr>
          <w:rFonts w:ascii="方正小标宋简体" w:eastAsia="方正小标宋简体" w:hAnsi="方正小标宋简体" w:cs="方正小标宋简体"/>
          <w:sz w:val="32"/>
          <w:szCs w:val="32"/>
          <w:lang w:eastAsia="zh-CN" w:bidi="ar"/>
        </w:rPr>
      </w:pPr>
    </w:p>
    <w:tbl>
      <w:tblPr>
        <w:tblpPr w:leftFromText="180" w:rightFromText="180" w:vertAnchor="text" w:horzAnchor="page" w:tblpXSpec="center" w:tblpY="247"/>
        <w:tblOverlap w:val="never"/>
        <w:tblW w:w="5203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1"/>
        <w:gridCol w:w="1810"/>
        <w:gridCol w:w="5953"/>
      </w:tblGrid>
      <w:tr w:rsidR="00FB25E3" w:rsidRPr="00172F3A" w:rsidTr="00291842">
        <w:trPr>
          <w:trHeight w:val="862"/>
          <w:jc w:val="center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黑体" w:eastAsia="黑体" w:hAnsi="黑体" w:cs="Times New Roman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 w:rsidRPr="00291842">
              <w:rPr>
                <w:rFonts w:ascii="黑体" w:eastAsia="黑体" w:hAnsi="黑体" w:cs="Times New Roman" w:hint="eastAsia"/>
                <w:color w:val="auto"/>
                <w:kern w:val="2"/>
                <w:sz w:val="28"/>
                <w:szCs w:val="32"/>
                <w:lang w:val="en-US" w:eastAsia="zh-CN" w:bidi="ar-SA"/>
              </w:rPr>
              <w:t>一级指标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黑体" w:eastAsia="黑体" w:hAnsi="黑体" w:cs="Times New Roman"/>
                <w:color w:val="auto"/>
                <w:kern w:val="2"/>
                <w:sz w:val="28"/>
                <w:szCs w:val="32"/>
                <w:lang w:val="en-US" w:eastAsia="zh-CN" w:bidi="ar-SA"/>
              </w:rPr>
            </w:pPr>
            <w:r w:rsidRPr="00291842">
              <w:rPr>
                <w:rFonts w:ascii="黑体" w:eastAsia="黑体" w:hAnsi="黑体" w:cs="Times New Roman" w:hint="eastAsia"/>
                <w:color w:val="auto"/>
                <w:kern w:val="2"/>
                <w:sz w:val="28"/>
                <w:szCs w:val="32"/>
                <w:lang w:val="en-US" w:eastAsia="zh-CN" w:bidi="ar-SA"/>
              </w:rPr>
              <w:t>二级指标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黑体" w:eastAsia="黑体" w:hAnsi="黑体"/>
                <w:bCs/>
                <w:sz w:val="28"/>
                <w:szCs w:val="32"/>
                <w:lang w:val="en-US" w:eastAsia="zh-CN"/>
              </w:rPr>
            </w:pPr>
            <w:r w:rsidRPr="00291842">
              <w:rPr>
                <w:rFonts w:ascii="黑体" w:eastAsia="黑体" w:hAnsi="黑体" w:hint="eastAsia"/>
                <w:bCs/>
                <w:sz w:val="28"/>
                <w:szCs w:val="32"/>
                <w:lang w:eastAsia="zh-CN"/>
              </w:rPr>
              <w:t>评</w:t>
            </w:r>
            <w:r w:rsidRPr="00291842">
              <w:rPr>
                <w:rFonts w:ascii="黑体" w:eastAsia="黑体" w:hAnsi="黑体" w:hint="eastAsia"/>
                <w:bCs/>
                <w:sz w:val="28"/>
                <w:szCs w:val="32"/>
                <w:lang w:val="en-US" w:eastAsia="zh-CN"/>
              </w:rPr>
              <w:t>分标准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运行情况</w:t>
            </w:r>
          </w:p>
          <w:p w:rsidR="00FB25E3" w:rsidRPr="00291842" w:rsidRDefault="00FB25E3" w:rsidP="009B3A3A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(</w:t>
            </w:r>
            <w:r w:rsidR="009B3A3A">
              <w:rPr>
                <w:rFonts w:ascii="Times New Roman" w:eastAsia="黑体" w:hAnsi="Times New Roman" w:cs="Times New Roman" w:hint="eastAsia"/>
                <w:color w:val="auto"/>
                <w:kern w:val="2"/>
                <w:lang w:val="en-US" w:eastAsia="zh-CN" w:bidi="ar-SA"/>
              </w:rPr>
              <w:t>3</w:t>
            </w: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0%)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研发经费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291842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研发经费投入总量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291842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研发经费支出占主营业务收入的比重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研发项目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近三年牵头或参与市级以上科研项目情况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产学研情况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近三年产学研合作项目数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近三年产学研合作项目实际投资额</w:t>
            </w:r>
          </w:p>
        </w:tc>
      </w:tr>
      <w:tr w:rsidR="00FB25E3" w:rsidRPr="00172F3A" w:rsidTr="00291842">
        <w:trPr>
          <w:trHeight w:val="862"/>
          <w:jc w:val="center"/>
        </w:trPr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1842" w:rsidRDefault="00FB25E3" w:rsidP="00291842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管理机制</w:t>
            </w:r>
          </w:p>
          <w:p w:rsidR="00FB25E3" w:rsidRPr="00291842" w:rsidRDefault="00FB25E3" w:rsidP="00291842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建设情况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是否建立健全的工程中心运行机制</w:t>
            </w:r>
          </w:p>
        </w:tc>
      </w:tr>
      <w:tr w:rsidR="00FB25E3" w:rsidRPr="00172F3A" w:rsidTr="00291842">
        <w:trPr>
          <w:trHeight w:val="837"/>
          <w:jc w:val="center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研发条件</w:t>
            </w:r>
          </w:p>
          <w:p w:rsidR="00FB25E3" w:rsidRPr="00291842" w:rsidRDefault="00FB25E3" w:rsidP="009B3A3A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(</w:t>
            </w:r>
            <w:r w:rsidR="009B3A3A">
              <w:rPr>
                <w:rFonts w:ascii="Times New Roman" w:eastAsia="黑体" w:hAnsi="Times New Roman" w:cs="Times New Roman" w:hint="eastAsia"/>
                <w:color w:val="auto"/>
                <w:kern w:val="2"/>
                <w:lang w:val="en-US" w:eastAsia="zh-CN" w:bidi="ar-SA"/>
              </w:rPr>
              <w:t>3</w:t>
            </w: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0%)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依托单位</w:t>
            </w:r>
          </w:p>
          <w:p w:rsidR="00FB25E3" w:rsidRPr="00291842" w:rsidRDefault="00FB25E3" w:rsidP="00291842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经济规模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企业单位经济效益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科研条件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研发设备原值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364D32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>
              <w:rPr>
                <w:rFonts w:ascii="方正仿宋简体" w:eastAsia="方正仿宋简体" w:hAnsi="宋体" w:cs="宋体" w:hint="eastAsia"/>
                <w:lang w:eastAsia="zh-CN" w:bidi="zh-TW"/>
              </w:rPr>
              <w:t>研发、</w:t>
            </w:r>
            <w:r w:rsidR="00FB25E3"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试验场地情况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科研平台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通过国家(国际组织)认证或国家(省</w:t>
            </w:r>
            <w:r w:rsidR="00364D32">
              <w:rPr>
                <w:rFonts w:ascii="方正仿宋简体" w:eastAsia="方正仿宋简体" w:hAnsi="宋体" w:cs="宋体" w:hint="eastAsia"/>
                <w:lang w:eastAsia="zh-CN" w:bidi="zh-TW"/>
              </w:rPr>
              <w:t>、市</w:t>
            </w: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)级科研平台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科研能力</w:t>
            </w:r>
          </w:p>
          <w:p w:rsidR="00FB25E3" w:rsidRPr="00291842" w:rsidRDefault="00FB25E3" w:rsidP="009B3A3A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(</w:t>
            </w:r>
            <w:r w:rsidR="009B3A3A">
              <w:rPr>
                <w:rFonts w:ascii="Times New Roman" w:eastAsia="黑体" w:hAnsi="Times New Roman" w:cs="Times New Roman" w:hint="eastAsia"/>
                <w:color w:val="auto"/>
                <w:kern w:val="2"/>
                <w:lang w:val="en-US" w:eastAsia="zh-CN" w:bidi="ar-SA"/>
              </w:rPr>
              <w:t>15</w:t>
            </w: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%)</w:t>
            </w: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人员结构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中心专职科研人员数量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中心拥有的本科(中级职称)及以上技术骨干人数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建设成效</w:t>
            </w:r>
          </w:p>
          <w:p w:rsidR="00FB25E3" w:rsidRPr="00291842" w:rsidRDefault="00FB25E3" w:rsidP="009B3A3A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(2</w:t>
            </w:r>
            <w:r w:rsidR="009B3A3A">
              <w:rPr>
                <w:rFonts w:ascii="Times New Roman" w:eastAsia="黑体" w:hAnsi="Times New Roman" w:cs="Times New Roman" w:hint="eastAsia"/>
                <w:color w:val="auto"/>
                <w:kern w:val="2"/>
                <w:lang w:val="en-US" w:eastAsia="zh-CN" w:bidi="ar-SA"/>
              </w:rPr>
              <w:t>5</w:t>
            </w: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%)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科技成果产出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近三年</w:t>
            </w:r>
            <w:r w:rsidR="00E87373">
              <w:rPr>
                <w:rFonts w:ascii="方正仿宋简体" w:eastAsia="方正仿宋简体" w:hAnsi="宋体" w:cs="宋体" w:hint="eastAsia"/>
                <w:lang w:eastAsia="zh-CN" w:bidi="zh-TW"/>
              </w:rPr>
              <w:t>技术成果情况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</w:p>
        </w:tc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25E3" w:rsidRPr="00291842" w:rsidRDefault="00FB25E3" w:rsidP="00D60798">
            <w:pPr>
              <w:pStyle w:val="Other1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</w:pPr>
            <w:r w:rsidRPr="00291842">
              <w:rPr>
                <w:rFonts w:ascii="Times New Roman" w:eastAsia="黑体" w:hAnsi="Times New Roman" w:cs="Times New Roman"/>
                <w:color w:val="auto"/>
                <w:kern w:val="2"/>
                <w:lang w:val="en-US" w:eastAsia="zh-CN" w:bidi="ar-SA"/>
              </w:rPr>
              <w:t>知识产权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中心拥有的有效发明专利数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172F3A" w:rsidRDefault="00FB25E3" w:rsidP="00D60798">
            <w:pPr>
              <w:spacing w:line="360" w:lineRule="exact"/>
              <w:jc w:val="center"/>
              <w:rPr>
                <w:rFonts w:ascii="方正黑体简体" w:eastAsia="方正黑体简体"/>
                <w:sz w:val="21"/>
                <w:szCs w:val="21"/>
                <w:lang w:eastAsia="zh-CN"/>
              </w:rPr>
            </w:pPr>
          </w:p>
        </w:tc>
        <w:tc>
          <w:tcPr>
            <w:tcW w:w="98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25E3" w:rsidRPr="00172F3A" w:rsidRDefault="00FB25E3" w:rsidP="00D60798">
            <w:pPr>
              <w:spacing w:line="360" w:lineRule="exact"/>
              <w:jc w:val="center"/>
              <w:rPr>
                <w:rFonts w:ascii="方正黑体简体" w:eastAsia="方正黑体简体"/>
                <w:sz w:val="21"/>
                <w:szCs w:val="21"/>
                <w:lang w:eastAsia="zh-CN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近三年</w:t>
            </w:r>
            <w:r w:rsidR="00AA3D1E">
              <w:rPr>
                <w:rFonts w:ascii="方正仿宋简体" w:eastAsia="方正仿宋简体" w:hAnsi="宋体" w:cs="宋体" w:hint="eastAsia"/>
                <w:lang w:eastAsia="zh-CN" w:bidi="zh-TW"/>
              </w:rPr>
              <w:t>申请、</w:t>
            </w:r>
            <w:bookmarkStart w:id="0" w:name="_GoBack"/>
            <w:bookmarkEnd w:id="0"/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授权的专利数</w:t>
            </w:r>
          </w:p>
        </w:tc>
      </w:tr>
      <w:tr w:rsidR="00FB25E3" w:rsidRPr="00172F3A" w:rsidTr="00291842">
        <w:trPr>
          <w:trHeight w:val="567"/>
          <w:jc w:val="center"/>
        </w:trPr>
        <w:tc>
          <w:tcPr>
            <w:tcW w:w="79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25E3" w:rsidRPr="00172F3A" w:rsidRDefault="00FB25E3" w:rsidP="00D60798">
            <w:pPr>
              <w:spacing w:line="360" w:lineRule="exact"/>
              <w:jc w:val="center"/>
              <w:rPr>
                <w:rFonts w:ascii="方正黑体简体" w:eastAsia="方正黑体简体"/>
                <w:sz w:val="21"/>
                <w:szCs w:val="21"/>
                <w:lang w:eastAsia="zh-CN"/>
              </w:rPr>
            </w:pPr>
          </w:p>
        </w:tc>
        <w:tc>
          <w:tcPr>
            <w:tcW w:w="98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25E3" w:rsidRPr="00172F3A" w:rsidRDefault="00FB25E3" w:rsidP="00D60798">
            <w:pPr>
              <w:spacing w:line="360" w:lineRule="exact"/>
              <w:jc w:val="center"/>
              <w:rPr>
                <w:rFonts w:ascii="方正黑体简体" w:eastAsia="方正黑体简体"/>
                <w:sz w:val="21"/>
                <w:szCs w:val="21"/>
                <w:lang w:eastAsia="zh-CN"/>
              </w:rPr>
            </w:pP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5E3" w:rsidRPr="0017771E" w:rsidRDefault="00FB25E3" w:rsidP="00D60798">
            <w:pPr>
              <w:spacing w:line="360" w:lineRule="exact"/>
              <w:rPr>
                <w:rFonts w:ascii="方正仿宋简体" w:eastAsia="方正仿宋简体" w:hAnsi="宋体" w:cs="宋体"/>
                <w:lang w:eastAsia="zh-CN" w:bidi="zh-TW"/>
              </w:rPr>
            </w:pPr>
            <w:r w:rsidRPr="0017771E">
              <w:rPr>
                <w:rFonts w:ascii="方正仿宋简体" w:eastAsia="方正仿宋简体" w:hAnsi="宋体" w:cs="宋体" w:hint="eastAsia"/>
                <w:lang w:eastAsia="zh-CN" w:bidi="zh-TW"/>
              </w:rPr>
              <w:t>近三年主持和参加制订的国际、国家和行业标准数量</w:t>
            </w:r>
          </w:p>
        </w:tc>
      </w:tr>
    </w:tbl>
    <w:p w:rsidR="00327DA5" w:rsidRPr="00291842" w:rsidRDefault="00327DA5" w:rsidP="00291842">
      <w:pPr>
        <w:spacing w:line="20" w:lineRule="exact"/>
        <w:rPr>
          <w:rFonts w:ascii="方正黑体简体" w:eastAsia="方正黑体简体"/>
          <w:sz w:val="28"/>
          <w:szCs w:val="28"/>
          <w:lang w:eastAsia="zh-CN"/>
        </w:rPr>
      </w:pPr>
    </w:p>
    <w:sectPr w:rsidR="00327DA5" w:rsidRPr="00291842">
      <w:pgSz w:w="11906" w:h="16838"/>
      <w:pgMar w:top="1701" w:right="1474" w:bottom="147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C39" w:rsidRDefault="001C6C39" w:rsidP="00FB25E3">
      <w:r>
        <w:separator/>
      </w:r>
    </w:p>
  </w:endnote>
  <w:endnote w:type="continuationSeparator" w:id="0">
    <w:p w:rsidR="001C6C39" w:rsidRDefault="001C6C39" w:rsidP="00FB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C39" w:rsidRDefault="001C6C39" w:rsidP="00FB25E3">
      <w:r>
        <w:separator/>
      </w:r>
    </w:p>
  </w:footnote>
  <w:footnote w:type="continuationSeparator" w:id="0">
    <w:p w:rsidR="001C6C39" w:rsidRDefault="001C6C39" w:rsidP="00FB2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BC"/>
    <w:rsid w:val="00172F3A"/>
    <w:rsid w:val="0017771E"/>
    <w:rsid w:val="001C6C39"/>
    <w:rsid w:val="00291842"/>
    <w:rsid w:val="002B43A0"/>
    <w:rsid w:val="002C0ADD"/>
    <w:rsid w:val="00327DA5"/>
    <w:rsid w:val="00364D32"/>
    <w:rsid w:val="00490A46"/>
    <w:rsid w:val="005951C4"/>
    <w:rsid w:val="009B3A3A"/>
    <w:rsid w:val="00AA3D1E"/>
    <w:rsid w:val="00BA7094"/>
    <w:rsid w:val="00D40DBC"/>
    <w:rsid w:val="00E87373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B25E3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B2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1"/>
    <w:link w:val="a4"/>
    <w:uiPriority w:val="99"/>
    <w:rsid w:val="00FB25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25E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1"/>
    <w:link w:val="a5"/>
    <w:uiPriority w:val="99"/>
    <w:rsid w:val="00FB25E3"/>
    <w:rPr>
      <w:sz w:val="18"/>
      <w:szCs w:val="18"/>
    </w:rPr>
  </w:style>
  <w:style w:type="paragraph" w:customStyle="1" w:styleId="Other1">
    <w:name w:val="Other|1"/>
    <w:basedOn w:val="a"/>
    <w:qFormat/>
    <w:rsid w:val="00FB25E3"/>
    <w:rPr>
      <w:rFonts w:ascii="宋体" w:eastAsia="宋体" w:hAnsi="宋体" w:cs="宋体"/>
      <w:lang w:val="zh-TW" w:eastAsia="zh-TW" w:bidi="zh-TW"/>
    </w:rPr>
  </w:style>
  <w:style w:type="paragraph" w:styleId="a0">
    <w:name w:val="Plain Text"/>
    <w:basedOn w:val="a"/>
    <w:link w:val="Char1"/>
    <w:uiPriority w:val="99"/>
    <w:semiHidden/>
    <w:unhideWhenUsed/>
    <w:rsid w:val="00FB25E3"/>
    <w:rPr>
      <w:rFonts w:ascii="宋体" w:eastAsia="宋体" w:hAnsi="Courier New" w:cs="Courier New"/>
      <w:sz w:val="21"/>
      <w:szCs w:val="21"/>
    </w:rPr>
  </w:style>
  <w:style w:type="character" w:customStyle="1" w:styleId="Char1">
    <w:name w:val="纯文本 Char"/>
    <w:basedOn w:val="a1"/>
    <w:link w:val="a0"/>
    <w:uiPriority w:val="99"/>
    <w:semiHidden/>
    <w:rsid w:val="00FB25E3"/>
    <w:rPr>
      <w:rFonts w:ascii="宋体" w:eastAsia="宋体" w:hAnsi="Courier New" w:cs="Courier New"/>
      <w:color w:val="000000"/>
      <w:kern w:val="0"/>
      <w:szCs w:val="21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B25E3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B2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1"/>
    <w:link w:val="a4"/>
    <w:uiPriority w:val="99"/>
    <w:rsid w:val="00FB25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25E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1"/>
    <w:link w:val="a5"/>
    <w:uiPriority w:val="99"/>
    <w:rsid w:val="00FB25E3"/>
    <w:rPr>
      <w:sz w:val="18"/>
      <w:szCs w:val="18"/>
    </w:rPr>
  </w:style>
  <w:style w:type="paragraph" w:customStyle="1" w:styleId="Other1">
    <w:name w:val="Other|1"/>
    <w:basedOn w:val="a"/>
    <w:qFormat/>
    <w:rsid w:val="00FB25E3"/>
    <w:rPr>
      <w:rFonts w:ascii="宋体" w:eastAsia="宋体" w:hAnsi="宋体" w:cs="宋体"/>
      <w:lang w:val="zh-TW" w:eastAsia="zh-TW" w:bidi="zh-TW"/>
    </w:rPr>
  </w:style>
  <w:style w:type="paragraph" w:styleId="a0">
    <w:name w:val="Plain Text"/>
    <w:basedOn w:val="a"/>
    <w:link w:val="Char1"/>
    <w:uiPriority w:val="99"/>
    <w:semiHidden/>
    <w:unhideWhenUsed/>
    <w:rsid w:val="00FB25E3"/>
    <w:rPr>
      <w:rFonts w:ascii="宋体" w:eastAsia="宋体" w:hAnsi="Courier New" w:cs="Courier New"/>
      <w:sz w:val="21"/>
      <w:szCs w:val="21"/>
    </w:rPr>
  </w:style>
  <w:style w:type="character" w:customStyle="1" w:styleId="Char1">
    <w:name w:val="纯文本 Char"/>
    <w:basedOn w:val="a1"/>
    <w:link w:val="a0"/>
    <w:uiPriority w:val="99"/>
    <w:semiHidden/>
    <w:rsid w:val="00FB25E3"/>
    <w:rPr>
      <w:rFonts w:ascii="宋体" w:eastAsia="宋体" w:hAnsi="Courier New" w:cs="Courier New"/>
      <w:color w:val="000000"/>
      <w:kern w:val="0"/>
      <w:szCs w:val="21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357</Characters>
  <Application>Microsoft Office Word</Application>
  <DocSecurity>0</DocSecurity>
  <Lines>2</Lines>
  <Paragraphs>1</Paragraphs>
  <ScaleCrop>false</ScaleCrop>
  <Company>Organization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61</cp:revision>
  <dcterms:created xsi:type="dcterms:W3CDTF">2022-08-12T08:37:00Z</dcterms:created>
  <dcterms:modified xsi:type="dcterms:W3CDTF">2022-08-15T07:32:00Z</dcterms:modified>
</cp:coreProperties>
</file>