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简体"/>
          <w:sz w:val="32"/>
          <w:szCs w:val="32"/>
        </w:rPr>
      </w:pPr>
    </w:p>
    <w:p>
      <w:pPr>
        <w:spacing w:line="600" w:lineRule="exact"/>
        <w:jc w:val="center"/>
        <w:rPr>
          <w:rFonts w:ascii="Times New Roman" w:hAnsi="Times New Roman" w:eastAsia="方正仿宋简体"/>
          <w:sz w:val="32"/>
          <w:szCs w:val="32"/>
        </w:rPr>
      </w:pPr>
    </w:p>
    <w:p>
      <w:pPr>
        <w:wordWrap w:val="0"/>
        <w:spacing w:line="600" w:lineRule="exact"/>
        <w:jc w:val="right"/>
        <w:rPr>
          <w:rFonts w:ascii="仿宋_GB2312" w:hAnsi="仿宋" w:eastAsia="仿宋_GB2312" w:cs="仿宋"/>
          <w:sz w:val="32"/>
          <w:szCs w:val="32"/>
        </w:rPr>
      </w:pPr>
      <w:r>
        <w:rPr>
          <w:rFonts w:hint="eastAsia" w:ascii="仿宋_GB2312" w:hAnsi="仿宋" w:eastAsia="仿宋_GB2312" w:cs="仿宋"/>
          <w:sz w:val="32"/>
          <w:szCs w:val="32"/>
        </w:rPr>
        <w:t>揭市发改油气函〔202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723</w:t>
      </w:r>
      <w:r>
        <w:rPr>
          <w:rFonts w:hint="eastAsia" w:ascii="仿宋_GB2312" w:hAnsi="仿宋" w:eastAsia="仿宋_GB2312" w:cs="仿宋"/>
          <w:sz w:val="32"/>
          <w:szCs w:val="32"/>
        </w:rPr>
        <w:t>号</w:t>
      </w:r>
    </w:p>
    <w:p>
      <w:pPr>
        <w:spacing w:line="600" w:lineRule="exact"/>
        <w:rPr>
          <w:rFonts w:ascii="仿宋" w:hAnsi="仿宋" w:eastAsia="仿宋" w:cs="仿宋"/>
          <w:sz w:val="32"/>
          <w:szCs w:val="32"/>
        </w:rPr>
      </w:pPr>
    </w:p>
    <w:p>
      <w:pPr>
        <w:spacing w:line="60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关于确认</w:t>
      </w:r>
      <w:r>
        <w:rPr>
          <w:rFonts w:hint="eastAsia" w:ascii="华文中宋" w:hAnsi="华文中宋" w:eastAsia="华文中宋" w:cs="华文中宋"/>
          <w:b/>
          <w:bCs/>
          <w:sz w:val="44"/>
          <w:szCs w:val="44"/>
          <w:lang w:val="en-US" w:eastAsia="zh-CN"/>
        </w:rPr>
        <w:t>VPN10#、V29#、144#加油</w:t>
      </w:r>
      <w:r>
        <w:rPr>
          <w:rFonts w:hint="eastAsia" w:ascii="华文中宋" w:hAnsi="华文中宋" w:eastAsia="华文中宋" w:cs="华文中宋"/>
          <w:b/>
          <w:bCs/>
          <w:sz w:val="44"/>
          <w:szCs w:val="44"/>
        </w:rPr>
        <w:t>站</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规划点的复函</w:t>
      </w:r>
    </w:p>
    <w:p>
      <w:pPr>
        <w:spacing w:line="600" w:lineRule="exact"/>
        <w:rPr>
          <w:rFonts w:ascii="华文中宋" w:hAnsi="华文中宋" w:eastAsia="华文中宋" w:cs="华文中宋"/>
          <w:sz w:val="44"/>
          <w:szCs w:val="44"/>
        </w:rPr>
      </w:pPr>
    </w:p>
    <w:p>
      <w:pPr>
        <w:keepNext w:val="0"/>
        <w:keepLines w:val="0"/>
        <w:pageBreakBefore w:val="0"/>
        <w:widowControl w:val="0"/>
        <w:kinsoku/>
        <w:overflowPunct/>
        <w:topLinePunct w:val="0"/>
        <w:autoSpaceDE/>
        <w:autoSpaceDN/>
        <w:bidi w:val="0"/>
        <w:adjustRightInd/>
        <w:snapToGrid/>
        <w:spacing w:line="360" w:lineRule="auto"/>
        <w:textAlignment w:val="auto"/>
        <w:rPr>
          <w:rFonts w:ascii="仿宋_GB2312" w:hAnsi="仿宋" w:eastAsia="仿宋_GB2312" w:cs="仿宋"/>
          <w:sz w:val="32"/>
          <w:szCs w:val="32"/>
        </w:rPr>
      </w:pPr>
      <w:r>
        <w:rPr>
          <w:rFonts w:hint="eastAsia" w:ascii="仿宋_GB2312" w:hAnsi="仿宋" w:eastAsia="仿宋_GB2312" w:cs="仿宋"/>
          <w:sz w:val="32"/>
          <w:szCs w:val="32"/>
        </w:rPr>
        <w:t>普宁市、</w:t>
      </w:r>
      <w:r>
        <w:rPr>
          <w:rFonts w:hint="eastAsia" w:ascii="仿宋_GB2312" w:hAnsi="仿宋" w:eastAsia="仿宋_GB2312" w:cs="仿宋"/>
          <w:sz w:val="32"/>
          <w:szCs w:val="32"/>
          <w:lang w:val="en-US" w:eastAsia="zh-CN"/>
        </w:rPr>
        <w:t>揭东</w:t>
      </w:r>
      <w:r>
        <w:rPr>
          <w:rFonts w:hint="eastAsia" w:ascii="仿宋_GB2312" w:hAnsi="仿宋" w:eastAsia="仿宋_GB2312" w:cs="仿宋"/>
          <w:sz w:val="32"/>
          <w:szCs w:val="32"/>
        </w:rPr>
        <w:t>区发改局：</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报来</w:t>
      </w:r>
      <w:r>
        <w:rPr>
          <w:rFonts w:hint="eastAsia" w:ascii="仿宋_GB2312" w:hAnsi="仿宋" w:eastAsia="仿宋_GB2312" w:cs="仿宋"/>
          <w:sz w:val="32"/>
          <w:szCs w:val="32"/>
        </w:rPr>
        <w:t>《关于揭阳市序号</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#编码</w:t>
      </w:r>
      <w:r>
        <w:rPr>
          <w:rFonts w:hint="eastAsia" w:ascii="仿宋_GB2312" w:hAnsi="仿宋" w:eastAsia="仿宋_GB2312" w:cs="仿宋"/>
          <w:sz w:val="32"/>
          <w:szCs w:val="32"/>
          <w:lang w:val="en-US" w:eastAsia="zh-CN"/>
        </w:rPr>
        <w:t>VPN10</w:t>
      </w:r>
      <w:r>
        <w:rPr>
          <w:rFonts w:hint="eastAsia" w:ascii="仿宋_GB2312" w:hAnsi="仿宋" w:eastAsia="仿宋_GB2312" w:cs="仿宋"/>
          <w:sz w:val="32"/>
          <w:szCs w:val="32"/>
        </w:rPr>
        <w:t>#加油站规划点建</w:t>
      </w:r>
      <w:r>
        <w:rPr>
          <w:rFonts w:hint="eastAsia" w:ascii="仿宋_GB2312" w:hAnsi="仿宋" w:eastAsia="仿宋_GB2312" w:cs="仿宋"/>
          <w:sz w:val="32"/>
          <w:szCs w:val="32"/>
          <w:lang w:val="en-US" w:eastAsia="zh-CN"/>
        </w:rPr>
        <w:t>设</w:t>
      </w:r>
      <w:r>
        <w:rPr>
          <w:rFonts w:hint="eastAsia" w:ascii="仿宋_GB2312" w:hAnsi="仿宋" w:eastAsia="仿宋_GB2312" w:cs="仿宋"/>
          <w:sz w:val="32"/>
          <w:szCs w:val="32"/>
        </w:rPr>
        <w:t>规划确认的请示》（普发改〔20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129</w:t>
      </w:r>
      <w:r>
        <w:rPr>
          <w:rFonts w:hint="eastAsia" w:ascii="仿宋_GB2312" w:hAnsi="仿宋" w:eastAsia="仿宋_GB2312" w:cs="仿宋"/>
          <w:sz w:val="32"/>
          <w:szCs w:val="32"/>
        </w:rPr>
        <w:t>号）等</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县（市、区）</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座加油站规划点确认的申请文件收悉。经研究，函复如下：</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新建规划确认</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 w:eastAsia="仿宋_GB2312" w:cs="仿宋"/>
          <w:sz w:val="32"/>
          <w:szCs w:val="32"/>
          <w:lang w:val="en-US" w:eastAsia="zh-CN"/>
        </w:rPr>
        <w:t>为适应社会经济发展，满</w:t>
      </w:r>
      <w:r>
        <w:rPr>
          <w:rFonts w:hint="eastAsia" w:ascii="仿宋_GB2312" w:hAnsi="仿宋_GB2312" w:eastAsia="仿宋_GB2312" w:cs="仿宋_GB2312"/>
          <w:b w:val="0"/>
          <w:bCs w:val="0"/>
          <w:sz w:val="32"/>
          <w:szCs w:val="32"/>
        </w:rPr>
        <w:t>足周边群众加油的需</w:t>
      </w:r>
      <w:r>
        <w:rPr>
          <w:rFonts w:hint="eastAsia" w:ascii="仿宋_GB2312" w:hAnsi="仿宋_GB2312" w:eastAsia="仿宋_GB2312" w:cs="仿宋_GB2312"/>
          <w:b w:val="0"/>
          <w:bCs w:val="0"/>
          <w:sz w:val="32"/>
          <w:szCs w:val="32"/>
          <w:lang w:val="en-US" w:eastAsia="zh-CN"/>
        </w:rPr>
        <w:t>求，同意普宁市1座加油站规划点建设加油站（</w:t>
      </w:r>
      <w:r>
        <w:rPr>
          <w:rFonts w:hint="eastAsia" w:ascii="仿宋_GB2312" w:hAnsi="仿宋" w:eastAsia="仿宋_GB2312" w:cs="仿宋"/>
          <w:sz w:val="32"/>
          <w:szCs w:val="32"/>
        </w:rPr>
        <w:t>详见附件</w:t>
      </w:r>
      <w:r>
        <w:rPr>
          <w:rFonts w:hint="eastAsia" w:ascii="仿宋_GB2312" w:hAnsi="仿宋" w:eastAsia="仿宋_GB2312" w:cs="仿宋"/>
          <w:sz w:val="32"/>
          <w:szCs w:val="32"/>
          <w:lang w:val="en-US" w:eastAsia="zh-CN"/>
        </w:rPr>
        <w:t>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请会同有关单位按照《石油成品油流通行业管理工作指引》《成品油零售企业管理技术规范》等有关要求，严格执行国道和省道加油站设置每百公里不超过六对、高速公路加油站设置每百公里不超过两对、以及城区加油站的服务半径不少于0.9公里（即与相邻最近现有加油站车行距离大于1.8公里）等规定。</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请指导申请企业凭本规划确认文件向自然资源、</w:t>
      </w:r>
      <w:r>
        <w:rPr>
          <w:rFonts w:hint="eastAsia" w:ascii="仿宋_GB2312" w:hAnsi="仿宋" w:eastAsia="仿宋_GB2312" w:cs="仿宋"/>
          <w:sz w:val="32"/>
          <w:szCs w:val="32"/>
        </w:rPr>
        <w:t>住建、</w:t>
      </w:r>
      <w:r>
        <w:rPr>
          <w:rFonts w:hint="default" w:ascii="仿宋_GB2312" w:hAnsi="仿宋_GB2312" w:eastAsia="仿宋_GB2312" w:cs="仿宋_GB2312"/>
          <w:b w:val="0"/>
          <w:bCs w:val="0"/>
          <w:sz w:val="32"/>
          <w:szCs w:val="32"/>
          <w:lang w:val="en-US" w:eastAsia="zh-CN"/>
        </w:rPr>
        <w:t>应急管理、生态环境、气象、市场监管等相关部门办理建设及竣工验收手续。加油站竣工后按照有关规定申领《成品油零售经营批准证书》。</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二、原址</w:t>
      </w:r>
      <w:r>
        <w:rPr>
          <w:rFonts w:hint="eastAsia" w:ascii="仿宋_GB2312" w:hAnsi="仿宋" w:eastAsia="仿宋_GB2312" w:cs="仿宋"/>
          <w:b/>
          <w:bCs/>
          <w:sz w:val="32"/>
          <w:szCs w:val="32"/>
          <w:lang w:val="en-US" w:eastAsia="zh-CN"/>
        </w:rPr>
        <w:t>改</w:t>
      </w:r>
      <w:r>
        <w:rPr>
          <w:rFonts w:hint="eastAsia" w:ascii="仿宋_GB2312" w:hAnsi="仿宋" w:eastAsia="仿宋_GB2312" w:cs="仿宋"/>
          <w:b/>
          <w:bCs/>
          <w:sz w:val="32"/>
          <w:szCs w:val="32"/>
        </w:rPr>
        <w:t>建</w:t>
      </w:r>
      <w:r>
        <w:rPr>
          <w:rFonts w:hint="eastAsia" w:ascii="仿宋_GB2312" w:hAnsi="仿宋" w:eastAsia="仿宋_GB2312" w:cs="仿宋"/>
          <w:b/>
          <w:bCs/>
          <w:sz w:val="32"/>
          <w:szCs w:val="32"/>
          <w:lang w:val="en-US" w:eastAsia="zh-CN"/>
        </w:rPr>
        <w:t>规划确认</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ascii="仿宋_GB2312" w:hAnsi="仿宋" w:eastAsia="仿宋_GB2312" w:cs="仿宋"/>
          <w:sz w:val="32"/>
          <w:szCs w:val="32"/>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一</w:t>
      </w:r>
      <w:r>
        <w:rPr>
          <w:rFonts w:hint="eastAsia" w:ascii="仿宋_GB2312" w:hAnsi="仿宋" w:eastAsia="仿宋_GB2312" w:cs="仿宋"/>
          <w:bCs/>
          <w:sz w:val="32"/>
          <w:szCs w:val="32"/>
          <w:lang w:eastAsia="zh-CN"/>
        </w:rPr>
        <w:t>）</w:t>
      </w:r>
      <w:r>
        <w:rPr>
          <w:rFonts w:hint="eastAsia" w:ascii="仿宋_GB2312" w:hAnsi="仿宋" w:eastAsia="仿宋_GB2312" w:cs="仿宋"/>
          <w:sz w:val="32"/>
          <w:szCs w:val="32"/>
        </w:rPr>
        <w:t>为提高设施设备环保水平、消除安全隐患、满足周边群众用油需求，同意普宁市、</w:t>
      </w:r>
      <w:r>
        <w:rPr>
          <w:rFonts w:hint="eastAsia" w:ascii="仿宋_GB2312" w:hAnsi="仿宋" w:eastAsia="仿宋_GB2312" w:cs="仿宋"/>
          <w:sz w:val="32"/>
          <w:szCs w:val="32"/>
          <w:lang w:val="en-US" w:eastAsia="zh-CN"/>
        </w:rPr>
        <w:t>揭东</w:t>
      </w:r>
      <w:r>
        <w:rPr>
          <w:rFonts w:hint="eastAsia" w:ascii="仿宋_GB2312" w:hAnsi="仿宋" w:eastAsia="仿宋_GB2312" w:cs="仿宋"/>
          <w:sz w:val="32"/>
          <w:szCs w:val="32"/>
        </w:rPr>
        <w:t>区2座加油站在原址基础上</w:t>
      </w:r>
      <w:r>
        <w:rPr>
          <w:rFonts w:hint="eastAsia" w:ascii="仿宋_GB2312" w:hAnsi="仿宋" w:eastAsia="仿宋_GB2312" w:cs="仿宋"/>
          <w:sz w:val="32"/>
          <w:szCs w:val="32"/>
          <w:lang w:val="en-US" w:eastAsia="zh-CN"/>
        </w:rPr>
        <w:t>改</w:t>
      </w:r>
      <w:r>
        <w:rPr>
          <w:rFonts w:hint="eastAsia" w:ascii="仿宋_GB2312" w:hAnsi="仿宋" w:eastAsia="仿宋_GB2312" w:cs="仿宋"/>
          <w:sz w:val="32"/>
          <w:szCs w:val="32"/>
        </w:rPr>
        <w:t>建（详见附件</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p>
    <w:p>
      <w:pPr>
        <w:keepNext w:val="0"/>
        <w:keepLines w:val="0"/>
        <w:pageBreakBefore w:val="0"/>
        <w:widowControl w:val="0"/>
        <w:kinsoku/>
        <w:overflowPunct/>
        <w:topLinePunct w:val="0"/>
        <w:autoSpaceDE/>
        <w:autoSpaceDN/>
        <w:bidi w:val="0"/>
        <w:adjustRightInd/>
        <w:snapToGrid/>
        <w:spacing w:line="360" w:lineRule="auto"/>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请通知加油站业主凭本规划确认文件到有关单位办理建设等相关手续。改建竣工后，各能源主管部门要依据自然资源、住建、应急管理、生态环境、气象、市场监管等部门的有关竣工验收证明进行复核。加油站业主凭有关材料向县（市、区）能源主管部门报备后方可营业。涉及扩容项目，凭有关材料报我局审批并申领新证后，方可办理营业手续。</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规划确认文件有效期两年。规划确认原则上不予延期，如有充分理由确需延期，应在文件到期前两个月向我局提出申请，逾期不予受理。加油站业主需在有效期内取得建设部门核发的《建筑工程施工许可证》，未取得《建筑工程施工许可证》之前，不得开工建设。</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专此函复。</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overflowPunct/>
        <w:topLinePunct w:val="0"/>
        <w:autoSpaceDE/>
        <w:autoSpaceDN/>
        <w:bidi w:val="0"/>
        <w:adjustRightInd/>
        <w:snapToGrid/>
        <w:spacing w:line="360" w:lineRule="auto"/>
        <w:ind w:firstLine="64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新建加油站规划确认表</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1600" w:firstLineChars="5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原址改建、扩建加油站规划确认表</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(此页无正文)</w:t>
      </w:r>
    </w:p>
    <w:p>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仿宋_GB2312" w:hAnsi="仿宋" w:eastAsia="仿宋_GB2312" w:cs="仿宋"/>
          <w:sz w:val="32"/>
          <w:szCs w:val="32"/>
        </w:rPr>
      </w:pPr>
    </w:p>
    <w:p>
      <w:pPr>
        <w:keepNext w:val="0"/>
        <w:keepLines w:val="0"/>
        <w:pageBreakBefore w:val="0"/>
        <w:widowControl w:val="0"/>
        <w:kinsoku/>
        <w:overflowPunct/>
        <w:topLinePunct w:val="0"/>
        <w:autoSpaceDE/>
        <w:autoSpaceDN/>
        <w:bidi w:val="0"/>
        <w:adjustRightInd/>
        <w:snapToGrid/>
        <w:spacing w:line="360" w:lineRule="auto"/>
        <w:textAlignment w:val="auto"/>
        <w:rPr>
          <w:rFonts w:ascii="仿宋_GB2312" w:hAnsi="仿宋" w:eastAsia="仿宋_GB2312" w:cs="仿宋"/>
          <w:sz w:val="32"/>
          <w:szCs w:val="32"/>
        </w:rPr>
      </w:pPr>
    </w:p>
    <w:p>
      <w:pPr>
        <w:pStyle w:val="2"/>
        <w:rPr>
          <w:rFonts w:ascii="仿宋_GB2312" w:hAnsi="仿宋" w:eastAsia="仿宋_GB2312" w:cs="仿宋"/>
          <w:sz w:val="32"/>
          <w:szCs w:val="32"/>
        </w:rPr>
      </w:pPr>
    </w:p>
    <w:p>
      <w:pPr>
        <w:pStyle w:val="2"/>
        <w:rPr>
          <w:rFonts w:ascii="仿宋_GB2312" w:hAnsi="仿宋" w:eastAsia="仿宋_GB2312" w:cs="仿宋"/>
          <w:sz w:val="32"/>
          <w:szCs w:val="32"/>
        </w:rPr>
      </w:pPr>
    </w:p>
    <w:p>
      <w:pPr>
        <w:pStyle w:val="2"/>
        <w:rPr>
          <w:rFonts w:ascii="仿宋_GB2312" w:hAnsi="仿宋" w:eastAsia="仿宋_GB2312" w:cs="仿宋"/>
          <w:sz w:val="32"/>
          <w:szCs w:val="32"/>
        </w:rPr>
      </w:pPr>
    </w:p>
    <w:p>
      <w:pPr>
        <w:pStyle w:val="2"/>
        <w:rPr>
          <w:rFonts w:ascii="仿宋_GB2312" w:hAnsi="仿宋" w:eastAsia="仿宋_GB2312" w:cs="仿宋"/>
          <w:sz w:val="32"/>
          <w:szCs w:val="32"/>
        </w:rPr>
      </w:pPr>
    </w:p>
    <w:p>
      <w:pPr>
        <w:pStyle w:val="2"/>
        <w:rPr>
          <w:rFonts w:ascii="仿宋_GB2312" w:hAnsi="仿宋" w:eastAsia="仿宋_GB2312" w:cs="仿宋"/>
          <w:sz w:val="32"/>
          <w:szCs w:val="32"/>
        </w:rPr>
      </w:pPr>
    </w:p>
    <w:p>
      <w:pPr>
        <w:pStyle w:val="2"/>
        <w:rPr>
          <w:rFonts w:ascii="仿宋_GB2312" w:hAnsi="仿宋" w:eastAsia="仿宋_GB2312" w:cs="仿宋"/>
          <w:sz w:val="32"/>
          <w:szCs w:val="32"/>
        </w:rPr>
      </w:pPr>
    </w:p>
    <w:p>
      <w:pPr>
        <w:pStyle w:val="2"/>
        <w:rPr>
          <w:rFonts w:ascii="仿宋_GB2312" w:hAnsi="仿宋" w:eastAsia="仿宋_GB2312" w:cs="仿宋"/>
          <w:sz w:val="32"/>
          <w:szCs w:val="32"/>
        </w:rPr>
      </w:pPr>
    </w:p>
    <w:p>
      <w:pPr>
        <w:keepNext w:val="0"/>
        <w:keepLines w:val="0"/>
        <w:pageBreakBefore w:val="0"/>
        <w:widowControl w:val="0"/>
        <w:tabs>
          <w:tab w:val="left" w:pos="8222"/>
        </w:tabs>
        <w:kinsoku/>
        <w:wordWrap w:val="0"/>
        <w:overflowPunct/>
        <w:topLinePunct w:val="0"/>
        <w:autoSpaceDE/>
        <w:autoSpaceDN/>
        <w:bidi w:val="0"/>
        <w:adjustRightInd/>
        <w:snapToGrid/>
        <w:spacing w:line="360" w:lineRule="auto"/>
        <w:ind w:right="848" w:rightChars="404"/>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揭阳市发展和改革局 </w:t>
      </w:r>
    </w:p>
    <w:p>
      <w:pPr>
        <w:keepNext w:val="0"/>
        <w:keepLines w:val="0"/>
        <w:pageBreakBefore w:val="0"/>
        <w:widowControl w:val="0"/>
        <w:kinsoku/>
        <w:wordWrap w:val="0"/>
        <w:overflowPunct/>
        <w:topLinePunct w:val="0"/>
        <w:autoSpaceDE/>
        <w:autoSpaceDN/>
        <w:bidi w:val="0"/>
        <w:adjustRightInd/>
        <w:snapToGrid/>
        <w:spacing w:line="360" w:lineRule="auto"/>
        <w:ind w:right="1134" w:rightChars="5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2022年7月</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lang w:eastAsia="zh-CN"/>
        </w:rPr>
        <w:t>日</w:t>
      </w:r>
      <w:r>
        <w:rPr>
          <w:rFonts w:hint="eastAsia" w:ascii="仿宋_GB2312" w:hAnsi="仿宋" w:eastAsia="仿宋_GB2312" w:cs="仿宋"/>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right="1134" w:rightChars="540"/>
        <w:textAlignment w:val="auto"/>
        <w:rPr>
          <w:rFonts w:hint="eastAsia" w:ascii="仿宋_GB2312" w:hAnsi="仿宋" w:eastAsia="仿宋_GB2312" w:cs="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right="1134" w:rightChars="540"/>
        <w:textAlignment w:val="auto"/>
        <w:rPr>
          <w:rFonts w:hint="eastAsia" w:ascii="仿宋_GB2312" w:hAnsi="仿宋" w:eastAsia="仿宋_GB2312" w:cs="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right="1134" w:rightChars="540"/>
        <w:textAlignment w:val="auto"/>
        <w:rPr>
          <w:rFonts w:hint="eastAsia" w:ascii="仿宋_GB2312" w:hAnsi="仿宋" w:eastAsia="仿宋_GB2312" w:cs="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right="1134" w:rightChars="540"/>
        <w:textAlignment w:val="auto"/>
        <w:rPr>
          <w:rFonts w:hint="eastAsia" w:ascii="仿宋_GB2312" w:hAnsi="仿宋" w:eastAsia="仿宋_GB2312" w:cs="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right="1134" w:rightChars="540"/>
        <w:textAlignment w:val="auto"/>
        <w:rPr>
          <w:rFonts w:hint="eastAsia" w:ascii="仿宋_GB2312" w:hAnsi="仿宋" w:eastAsia="仿宋_GB2312" w:cs="仿宋"/>
          <w:sz w:val="32"/>
          <w:szCs w:val="32"/>
        </w:rPr>
      </w:pPr>
    </w:p>
    <w:p>
      <w:pPr>
        <w:keepNext w:val="0"/>
        <w:keepLines w:val="0"/>
        <w:pageBreakBefore w:val="0"/>
        <w:widowControl w:val="0"/>
        <w:tabs>
          <w:tab w:val="left" w:pos="400"/>
        </w:tabs>
        <w:kinsoku/>
        <w:overflowPunct/>
        <w:topLinePunct w:val="0"/>
        <w:autoSpaceDE/>
        <w:autoSpaceDN/>
        <w:bidi w:val="0"/>
        <w:adjustRightInd/>
        <w:snapToGrid/>
        <w:spacing w:line="360" w:lineRule="auto"/>
        <w:textAlignment w:val="auto"/>
        <w:rPr>
          <w:rFonts w:ascii="仿宋_GB2312" w:hAnsi="仿宋" w:eastAsia="仿宋_GB2312" w:cs="仿宋"/>
          <w:sz w:val="32"/>
          <w:szCs w:val="32"/>
        </w:rPr>
      </w:pPr>
      <w:r>
        <w:rPr>
          <w:rFonts w:hint="eastAsia" w:ascii="仿宋_GB2312" w:hAnsi="仿宋" w:eastAsia="仿宋_GB2312" w:cs="仿宋"/>
          <w:sz w:val="32"/>
          <w:szCs w:val="32"/>
        </w:rPr>
        <w:t>公开方式：主动公开</w:t>
      </w:r>
    </w:p>
    <w:p>
      <w:pPr>
        <w:keepNext w:val="0"/>
        <w:keepLines w:val="0"/>
        <w:pageBreakBefore w:val="0"/>
        <w:widowControl w:val="0"/>
        <w:tabs>
          <w:tab w:val="left" w:pos="400"/>
        </w:tabs>
        <w:kinsoku/>
        <w:overflowPunct/>
        <w:topLinePunct w:val="0"/>
        <w:autoSpaceDE/>
        <w:autoSpaceDN/>
        <w:bidi w:val="0"/>
        <w:adjustRightInd/>
        <w:snapToGrid/>
        <w:spacing w:line="360" w:lineRule="auto"/>
        <w:ind w:left="960" w:hanging="960" w:hangingChars="300"/>
        <w:textAlignment w:val="auto"/>
        <w:rPr>
          <w:rFonts w:hint="eastAsia" w:ascii="仿宋_GB2312" w:hAnsi="仿宋" w:eastAsia="仿宋_GB2312" w:cs="仿宋"/>
          <w:sz w:val="32"/>
          <w:szCs w:val="32"/>
        </w:rPr>
        <w:sectPr>
          <w:footerReference r:id="rId3" w:type="default"/>
          <w:pgSz w:w="11906" w:h="16838"/>
          <w:pgMar w:top="1814" w:right="1247" w:bottom="1247" w:left="1587" w:header="851" w:footer="992" w:gutter="0"/>
          <w:cols w:space="720" w:num="1"/>
          <w:docGrid w:type="lines" w:linePitch="313" w:charSpace="0"/>
        </w:sectPr>
      </w:pPr>
      <w:r>
        <w:rPr>
          <w:rFonts w:hint="eastAsia" w:ascii="仿宋_GB2312" w:hAnsi="仿宋" w:eastAsia="仿宋_GB2312" w:cs="仿宋"/>
          <w:sz w:val="32"/>
          <w:szCs w:val="32"/>
        </w:rPr>
        <w:t>抄送：中国石油天然气股份有限公司广东揭阳</w:t>
      </w:r>
      <w:r>
        <w:rPr>
          <w:rFonts w:hint="eastAsia" w:ascii="仿宋_GB2312" w:hAnsi="仿宋" w:eastAsia="仿宋_GB2312" w:cs="仿宋"/>
          <w:sz w:val="32"/>
          <w:szCs w:val="32"/>
          <w:lang w:val="en-US" w:eastAsia="zh-CN"/>
        </w:rPr>
        <w:t>销售分公司、</w:t>
      </w:r>
      <w:r>
        <w:rPr>
          <w:rFonts w:hint="eastAsia" w:ascii="仿宋_GB2312" w:hAnsi="仿宋" w:eastAsia="仿宋_GB2312" w:cs="仿宋"/>
          <w:sz w:val="32"/>
          <w:szCs w:val="32"/>
        </w:rPr>
        <w:t>普宁市</w:t>
      </w:r>
      <w:r>
        <w:rPr>
          <w:rFonts w:hint="eastAsia" w:ascii="仿宋_GB2312" w:hAnsi="仿宋" w:eastAsia="仿宋_GB2312" w:cs="仿宋"/>
          <w:sz w:val="32"/>
          <w:szCs w:val="32"/>
          <w:lang w:val="en-US" w:eastAsia="zh-CN"/>
        </w:rPr>
        <w:t>冠兴石油化工有限公司、</w:t>
      </w:r>
      <w:r>
        <w:rPr>
          <w:rFonts w:hint="eastAsia" w:ascii="仿宋_GB2312" w:hAnsi="仿宋" w:eastAsia="仿宋_GB2312" w:cs="仿宋"/>
          <w:sz w:val="32"/>
          <w:szCs w:val="32"/>
        </w:rPr>
        <w:t>揭阳</w:t>
      </w:r>
      <w:r>
        <w:rPr>
          <w:rFonts w:hint="eastAsia" w:ascii="仿宋_GB2312" w:hAnsi="仿宋" w:eastAsia="仿宋_GB2312" w:cs="仿宋"/>
          <w:sz w:val="32"/>
          <w:szCs w:val="32"/>
          <w:lang w:val="en-US" w:eastAsia="zh-CN"/>
        </w:rPr>
        <w:t>产业园月城镇东升加油站。</w:t>
      </w:r>
    </w:p>
    <w:p>
      <w:pPr>
        <w:spacing w:line="600" w:lineRule="exact"/>
        <w:rPr>
          <w:rFonts w:hint="eastAsia" w:ascii="Times New Roman" w:hAnsi="Times New Roman" w:eastAsia="方正仿宋简体"/>
          <w:sz w:val="32"/>
          <w:szCs w:val="32"/>
          <w:lang w:val="en-US" w:eastAsia="zh-CN"/>
        </w:rPr>
      </w:pPr>
      <w:r>
        <w:rPr>
          <w:rFonts w:ascii="Times New Roman" w:hAnsi="Times New Roman" w:eastAsia="方正仿宋简体"/>
          <w:sz w:val="32"/>
          <w:szCs w:val="32"/>
        </w:rPr>
        <w:t>附件</w:t>
      </w:r>
      <w:r>
        <w:rPr>
          <w:rFonts w:hint="eastAsia" w:ascii="Times New Roman" w:hAnsi="Times New Roman" w:eastAsia="方正仿宋简体"/>
          <w:sz w:val="32"/>
          <w:szCs w:val="32"/>
          <w:lang w:val="en-US" w:eastAsia="zh-CN"/>
        </w:rPr>
        <w:t>1</w:t>
      </w:r>
    </w:p>
    <w:p>
      <w:pPr>
        <w:spacing w:afterLines="50" w:line="600" w:lineRule="exact"/>
        <w:jc w:val="center"/>
        <w:rPr>
          <w:rFonts w:hint="eastAsia" w:ascii="Times New Roman" w:hAnsi="Times New Roman" w:eastAsia="方正小标宋简体"/>
          <w:b/>
          <w:bCs/>
          <w:sz w:val="44"/>
          <w:szCs w:val="44"/>
        </w:rPr>
      </w:pPr>
      <w:r>
        <w:rPr>
          <w:rFonts w:hint="eastAsia" w:ascii="Times New Roman" w:hAnsi="Times New Roman" w:eastAsia="方正小标宋简体"/>
          <w:b/>
          <w:bCs/>
          <w:sz w:val="44"/>
          <w:szCs w:val="44"/>
        </w:rPr>
        <w:t>新建加油站规划确认表</w:t>
      </w:r>
    </w:p>
    <w:p>
      <w:pPr>
        <w:spacing w:afterLines="50" w:line="600" w:lineRule="exact"/>
        <w:jc w:val="center"/>
        <w:rPr>
          <w:rFonts w:hint="eastAsia" w:ascii="Times New Roman" w:hAnsi="Times New Roman" w:eastAsia="方正小标宋简体"/>
          <w:sz w:val="44"/>
          <w:szCs w:val="44"/>
        </w:rPr>
      </w:pPr>
    </w:p>
    <w:tbl>
      <w:tblPr>
        <w:tblStyle w:val="6"/>
        <w:tblW w:w="14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92"/>
        <w:gridCol w:w="2275"/>
        <w:gridCol w:w="1935"/>
        <w:gridCol w:w="1890"/>
        <w:gridCol w:w="2775"/>
        <w:gridCol w:w="252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5"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992"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县（市、区）</w:t>
            </w:r>
          </w:p>
        </w:tc>
        <w:tc>
          <w:tcPr>
            <w:tcW w:w="2275"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加油站名称</w:t>
            </w:r>
          </w:p>
        </w:tc>
        <w:tc>
          <w:tcPr>
            <w:tcW w:w="1935" w:type="dxa"/>
            <w:noWrap/>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申请企业名称</w:t>
            </w:r>
          </w:p>
        </w:tc>
        <w:tc>
          <w:tcPr>
            <w:tcW w:w="1890"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所在路段</w:t>
            </w:r>
          </w:p>
        </w:tc>
        <w:tc>
          <w:tcPr>
            <w:tcW w:w="2775"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储油罐容量（加油枪数量）</w:t>
            </w:r>
          </w:p>
        </w:tc>
        <w:tc>
          <w:tcPr>
            <w:tcW w:w="2525" w:type="dxa"/>
            <w:noWrap/>
            <w:vAlign w:val="center"/>
          </w:tcPr>
          <w:p>
            <w:pPr>
              <w:jc w:val="both"/>
              <w:rPr>
                <w:rFonts w:ascii="黑体" w:hAnsi="黑体" w:eastAsia="黑体" w:cs="黑体"/>
                <w:b/>
                <w:bCs/>
                <w:sz w:val="24"/>
                <w:szCs w:val="24"/>
              </w:rPr>
            </w:pPr>
            <w:r>
              <w:rPr>
                <w:rFonts w:hint="eastAsia" w:ascii="黑体" w:hAnsi="黑体" w:eastAsia="黑体" w:cs="黑体"/>
                <w:b/>
                <w:bCs/>
                <w:sz w:val="24"/>
                <w:szCs w:val="24"/>
              </w:rPr>
              <w:t>成品油</w:t>
            </w:r>
            <w:r>
              <w:rPr>
                <w:rFonts w:hint="eastAsia" w:ascii="黑体" w:hAnsi="黑体" w:eastAsia="黑体" w:cs="黑体"/>
                <w:b/>
                <w:bCs/>
                <w:sz w:val="24"/>
                <w:szCs w:val="24"/>
                <w:lang w:val="en-US" w:eastAsia="zh-CN"/>
              </w:rPr>
              <w:t>分销</w:t>
            </w:r>
            <w:r>
              <w:rPr>
                <w:rFonts w:hint="eastAsia" w:ascii="黑体" w:hAnsi="黑体" w:eastAsia="黑体" w:cs="黑体"/>
                <w:b/>
                <w:bCs/>
                <w:sz w:val="24"/>
                <w:szCs w:val="24"/>
              </w:rPr>
              <w:t>体系“十</w:t>
            </w:r>
            <w:r>
              <w:rPr>
                <w:rFonts w:hint="eastAsia" w:ascii="黑体" w:hAnsi="黑体" w:eastAsia="黑体" w:cs="黑体"/>
                <w:b/>
                <w:bCs/>
                <w:sz w:val="24"/>
                <w:szCs w:val="24"/>
                <w:lang w:val="en-US" w:eastAsia="zh-CN"/>
              </w:rPr>
              <w:t>四</w:t>
            </w:r>
            <w:r>
              <w:rPr>
                <w:rFonts w:hint="eastAsia" w:ascii="黑体" w:hAnsi="黑体" w:eastAsia="黑体" w:cs="黑体"/>
                <w:b/>
                <w:bCs/>
                <w:sz w:val="24"/>
                <w:szCs w:val="24"/>
              </w:rPr>
              <w:t>五”发展规划（20</w:t>
            </w:r>
            <w:r>
              <w:rPr>
                <w:rFonts w:hint="eastAsia" w:ascii="黑体" w:hAnsi="黑体" w:eastAsia="黑体" w:cs="黑体"/>
                <w:b/>
                <w:bCs/>
                <w:sz w:val="24"/>
                <w:szCs w:val="24"/>
                <w:lang w:val="en-US" w:eastAsia="zh-CN"/>
              </w:rPr>
              <w:t>21</w:t>
            </w:r>
            <w:r>
              <w:rPr>
                <w:rFonts w:hint="eastAsia" w:ascii="黑体" w:hAnsi="黑体" w:eastAsia="黑体" w:cs="黑体"/>
                <w:b/>
                <w:bCs/>
                <w:sz w:val="24"/>
                <w:szCs w:val="24"/>
              </w:rPr>
              <w:t>-202</w:t>
            </w:r>
            <w:r>
              <w:rPr>
                <w:rFonts w:hint="eastAsia" w:ascii="黑体" w:hAnsi="黑体" w:eastAsia="黑体" w:cs="黑体"/>
                <w:b/>
                <w:bCs/>
                <w:sz w:val="24"/>
                <w:szCs w:val="24"/>
                <w:lang w:val="en-US" w:eastAsia="zh-CN"/>
              </w:rPr>
              <w:t>5</w:t>
            </w:r>
            <w:r>
              <w:rPr>
                <w:rFonts w:hint="eastAsia" w:ascii="黑体" w:hAnsi="黑体" w:eastAsia="黑体" w:cs="黑体"/>
                <w:b/>
                <w:bCs/>
                <w:sz w:val="24"/>
                <w:szCs w:val="24"/>
              </w:rPr>
              <w:t>年）序号及编码</w:t>
            </w:r>
          </w:p>
        </w:tc>
        <w:tc>
          <w:tcPr>
            <w:tcW w:w="1557"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blHeader/>
          <w:jc w:val="center"/>
        </w:trPr>
        <w:tc>
          <w:tcPr>
            <w:tcW w:w="535" w:type="dxa"/>
            <w:noWrap/>
            <w:vAlign w:val="center"/>
          </w:tcPr>
          <w:p>
            <w:pPr>
              <w:jc w:val="center"/>
              <w:rPr>
                <w:rFonts w:ascii="Times New Roman" w:hAnsi="Times New Roman" w:eastAsia="仿宋"/>
                <w:sz w:val="24"/>
                <w:szCs w:val="24"/>
              </w:rPr>
            </w:pPr>
            <w:r>
              <w:rPr>
                <w:rFonts w:ascii="Times New Roman" w:hAnsi="Times New Roman" w:eastAsia="仿宋"/>
                <w:sz w:val="24"/>
                <w:szCs w:val="24"/>
              </w:rPr>
              <w:t>1</w:t>
            </w:r>
          </w:p>
        </w:tc>
        <w:tc>
          <w:tcPr>
            <w:tcW w:w="992"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普宁市</w:t>
            </w:r>
          </w:p>
        </w:tc>
        <w:tc>
          <w:tcPr>
            <w:tcW w:w="2275" w:type="dxa"/>
            <w:noWrap/>
            <w:vAlign w:val="center"/>
          </w:tcPr>
          <w:p>
            <w:pPr>
              <w:jc w:val="left"/>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中国石油天然气股份有限公司广东揭阳</w:t>
            </w:r>
            <w:r>
              <w:rPr>
                <w:rFonts w:hint="eastAsia" w:ascii="仿宋_GB2312" w:hAnsi="Times New Roman" w:eastAsia="仿宋_GB2312"/>
                <w:sz w:val="24"/>
                <w:szCs w:val="24"/>
                <w:lang w:val="en-US" w:eastAsia="zh-CN"/>
              </w:rPr>
              <w:t>普宁大长陇加油站</w:t>
            </w:r>
          </w:p>
        </w:tc>
        <w:tc>
          <w:tcPr>
            <w:tcW w:w="1935" w:type="dxa"/>
            <w:noWrap/>
            <w:vAlign w:val="center"/>
          </w:tcPr>
          <w:p>
            <w:pPr>
              <w:jc w:val="left"/>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中国石油天然气股份有限公司广东揭阳</w:t>
            </w:r>
            <w:r>
              <w:rPr>
                <w:rFonts w:hint="eastAsia" w:ascii="仿宋_GB2312" w:hAnsi="Times New Roman" w:eastAsia="仿宋_GB2312"/>
                <w:sz w:val="24"/>
                <w:szCs w:val="24"/>
                <w:lang w:val="en-US" w:eastAsia="zh-CN"/>
              </w:rPr>
              <w:t>销售分公司</w:t>
            </w:r>
          </w:p>
        </w:tc>
        <w:tc>
          <w:tcPr>
            <w:tcW w:w="1890" w:type="dxa"/>
            <w:noWrap/>
            <w:vAlign w:val="center"/>
          </w:tcPr>
          <w:p>
            <w:pPr>
              <w:jc w:val="left"/>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普宁市普宁大道军埠镇大长陇段</w:t>
            </w:r>
          </w:p>
        </w:tc>
        <w:tc>
          <w:tcPr>
            <w:tcW w:w="2775" w:type="dxa"/>
            <w:noWrap/>
            <w:vAlign w:val="center"/>
          </w:tcPr>
          <w:p>
            <w:pPr>
              <w:jc w:val="left"/>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Times New Roman" w:eastAsia="仿宋_GB2312"/>
                <w:sz w:val="24"/>
                <w:szCs w:val="24"/>
              </w:rPr>
              <w:t>汽油罐</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个，</w:t>
            </w:r>
            <w:r>
              <w:rPr>
                <w:rFonts w:hint="eastAsia" w:ascii="仿宋_GB2312" w:hAnsi="Times New Roman" w:eastAsia="仿宋_GB2312"/>
                <w:sz w:val="24"/>
                <w:szCs w:val="24"/>
                <w:lang w:val="en-US" w:eastAsia="zh-CN"/>
              </w:rPr>
              <w:t>30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Times New Roman" w:eastAsia="仿宋_GB2312"/>
                <w:sz w:val="24"/>
                <w:szCs w:val="24"/>
              </w:rPr>
              <w:t>汽油罐</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个</w:t>
            </w:r>
            <w:r>
              <w:rPr>
                <w:rFonts w:hint="eastAsia" w:ascii="仿宋_GB2312" w:hAnsi="Times New Roman" w:eastAsia="仿宋_GB2312"/>
                <w:sz w:val="24"/>
                <w:szCs w:val="24"/>
                <w:lang w:eastAsia="zh-CN"/>
              </w:rPr>
              <w:t>，</w:t>
            </w:r>
            <w:r>
              <w:rPr>
                <w:rFonts w:hint="eastAsia" w:ascii="仿宋_GB2312" w:hAnsi="Times New Roman" w:eastAsia="仿宋_GB2312"/>
                <w:sz w:val="24"/>
                <w:szCs w:val="24"/>
                <w:lang w:val="en-US" w:eastAsia="zh-CN"/>
              </w:rPr>
              <w:t>30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Times New Roman" w:eastAsia="仿宋_GB2312"/>
                <w:sz w:val="24"/>
                <w:szCs w:val="24"/>
              </w:rPr>
              <w:t>柴油罐</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个；</w:t>
            </w:r>
            <w:r>
              <w:rPr>
                <w:rFonts w:hint="eastAsia" w:ascii="仿宋_GB2312" w:hAnsi="仿宋" w:eastAsia="仿宋_GB2312" w:cs="仿宋"/>
                <w:sz w:val="24"/>
                <w:szCs w:val="24"/>
              </w:rPr>
              <w:t>加油枪</w:t>
            </w:r>
            <w:r>
              <w:rPr>
                <w:rFonts w:hint="eastAsia" w:ascii="仿宋_GB2312" w:hAnsi="仿宋" w:eastAsia="仿宋_GB2312" w:cs="仿宋"/>
                <w:sz w:val="24"/>
                <w:szCs w:val="24"/>
                <w:lang w:val="en-US" w:eastAsia="zh-CN"/>
              </w:rPr>
              <w:t>16</w:t>
            </w:r>
            <w:r>
              <w:rPr>
                <w:rFonts w:hint="eastAsia" w:ascii="仿宋_GB2312" w:hAnsi="仿宋" w:eastAsia="仿宋_GB2312" w:cs="仿宋"/>
                <w:sz w:val="24"/>
                <w:szCs w:val="24"/>
              </w:rPr>
              <w:t>支</w:t>
            </w:r>
            <w:r>
              <w:rPr>
                <w:rFonts w:hint="eastAsia" w:ascii="仿宋_GB2312" w:hAnsi="仿宋" w:eastAsia="仿宋_GB2312" w:cs="仿宋"/>
                <w:sz w:val="24"/>
                <w:szCs w:val="24"/>
                <w:lang w:eastAsia="zh-CN"/>
              </w:rPr>
              <w:t>。</w:t>
            </w:r>
          </w:p>
        </w:tc>
        <w:tc>
          <w:tcPr>
            <w:tcW w:w="2525" w:type="dxa"/>
            <w:noWrap/>
            <w:vAlign w:val="center"/>
          </w:tcPr>
          <w:p>
            <w:pPr>
              <w:jc w:val="left"/>
              <w:rPr>
                <w:rFonts w:ascii="仿宋_GB2312" w:hAnsi="Times New Roman" w:eastAsia="仿宋_GB2312"/>
                <w:sz w:val="24"/>
                <w:szCs w:val="24"/>
              </w:rPr>
            </w:pPr>
            <w:r>
              <w:rPr>
                <w:rFonts w:hint="eastAsia" w:ascii="仿宋_GB2312" w:hAnsi="Times New Roman" w:eastAsia="仿宋_GB2312"/>
                <w:sz w:val="24"/>
                <w:szCs w:val="24"/>
              </w:rPr>
              <w:t>附表</w:t>
            </w:r>
            <w:r>
              <w:rPr>
                <w:rFonts w:hint="eastAsia" w:ascii="仿宋_GB2312" w:hAnsi="Times New Roman" w:eastAsia="仿宋_GB2312"/>
                <w:sz w:val="24"/>
                <w:szCs w:val="24"/>
                <w:lang w:val="en-US" w:eastAsia="zh-CN"/>
              </w:rPr>
              <w:t>8</w:t>
            </w:r>
            <w:r>
              <w:rPr>
                <w:rFonts w:hint="eastAsia" w:ascii="仿宋_GB2312" w:hAnsi="Times New Roman" w:eastAsia="仿宋_GB2312"/>
                <w:sz w:val="24"/>
                <w:szCs w:val="24"/>
              </w:rPr>
              <w:t>：序号</w:t>
            </w:r>
            <w:r>
              <w:rPr>
                <w:rFonts w:hint="eastAsia" w:ascii="仿宋_GB2312" w:hAnsi="Times New Roman" w:eastAsia="仿宋_GB2312"/>
                <w:sz w:val="24"/>
                <w:szCs w:val="24"/>
                <w:lang w:val="en-US" w:eastAsia="zh-CN"/>
              </w:rPr>
              <w:t>20</w:t>
            </w:r>
            <w:r>
              <w:rPr>
                <w:rFonts w:hint="eastAsia" w:ascii="仿宋_GB2312" w:hAnsi="Times New Roman" w:eastAsia="仿宋_GB2312"/>
                <w:sz w:val="24"/>
                <w:szCs w:val="24"/>
              </w:rPr>
              <w:t>#编码</w:t>
            </w:r>
            <w:r>
              <w:rPr>
                <w:rFonts w:hint="eastAsia" w:ascii="仿宋_GB2312" w:hAnsi="Times New Roman" w:eastAsia="仿宋_GB2312"/>
                <w:sz w:val="24"/>
                <w:szCs w:val="24"/>
                <w:lang w:val="en-US" w:eastAsia="zh-CN"/>
              </w:rPr>
              <w:t>VPN10</w:t>
            </w:r>
            <w:r>
              <w:rPr>
                <w:rFonts w:hint="eastAsia" w:ascii="仿宋_GB2312" w:hAnsi="Times New Roman" w:eastAsia="仿宋_GB2312"/>
                <w:sz w:val="24"/>
                <w:szCs w:val="24"/>
              </w:rPr>
              <w:t>#</w:t>
            </w:r>
          </w:p>
        </w:tc>
        <w:tc>
          <w:tcPr>
            <w:tcW w:w="1557" w:type="dxa"/>
            <w:noWrap/>
            <w:vAlign w:val="center"/>
          </w:tcPr>
          <w:p>
            <w:pPr>
              <w:jc w:val="left"/>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新建三</w:t>
            </w:r>
            <w:r>
              <w:rPr>
                <w:rFonts w:hint="eastAsia" w:ascii="仿宋_GB2312" w:hAnsi="Times New Roman" w:eastAsia="仿宋_GB2312"/>
                <w:sz w:val="24"/>
                <w:szCs w:val="24"/>
              </w:rPr>
              <w:t>级</w:t>
            </w:r>
            <w:r>
              <w:rPr>
                <w:rFonts w:hint="eastAsia" w:ascii="仿宋_GB2312" w:hAnsi="Times New Roman" w:eastAsia="仿宋_GB2312"/>
                <w:sz w:val="24"/>
                <w:szCs w:val="24"/>
                <w:lang w:val="en-US" w:eastAsia="zh-CN"/>
              </w:rPr>
              <w:t>加油站</w:t>
            </w:r>
          </w:p>
        </w:tc>
      </w:tr>
    </w:tbl>
    <w:p/>
    <w:p/>
    <w:p/>
    <w:p/>
    <w:p/>
    <w:p/>
    <w:p/>
    <w:p/>
    <w:p/>
    <w:p/>
    <w:p>
      <w:pPr>
        <w:spacing w:line="600" w:lineRule="exact"/>
        <w:rPr>
          <w:rFonts w:hint="eastAsia" w:ascii="Times New Roman" w:hAnsi="Times New Roman" w:eastAsia="方正仿宋简体"/>
          <w:sz w:val="32"/>
          <w:szCs w:val="32"/>
          <w:lang w:val="en-US" w:eastAsia="zh-CN"/>
        </w:rPr>
      </w:pPr>
      <w:r>
        <w:rPr>
          <w:rFonts w:ascii="Times New Roman" w:hAnsi="Times New Roman" w:eastAsia="方正仿宋简体"/>
          <w:sz w:val="32"/>
          <w:szCs w:val="32"/>
        </w:rPr>
        <w:t>附件</w:t>
      </w:r>
      <w:r>
        <w:rPr>
          <w:rFonts w:hint="eastAsia" w:ascii="Times New Roman" w:hAnsi="Times New Roman" w:eastAsia="方正仿宋简体"/>
          <w:sz w:val="32"/>
          <w:szCs w:val="32"/>
          <w:lang w:val="en-US" w:eastAsia="zh-CN"/>
        </w:rPr>
        <w:t>2</w:t>
      </w:r>
    </w:p>
    <w:p/>
    <w:p>
      <w:pPr>
        <w:spacing w:afterLines="50" w:line="60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原址</w:t>
      </w:r>
      <w:r>
        <w:rPr>
          <w:rFonts w:hint="eastAsia" w:ascii="Times New Roman" w:hAnsi="Times New Roman" w:eastAsia="方正小标宋简体"/>
          <w:b/>
          <w:bCs/>
          <w:sz w:val="44"/>
          <w:szCs w:val="44"/>
        </w:rPr>
        <w:t>改建、</w:t>
      </w:r>
      <w:r>
        <w:rPr>
          <w:rFonts w:ascii="Times New Roman" w:hAnsi="Times New Roman" w:eastAsia="方正小标宋简体"/>
          <w:b/>
          <w:bCs/>
          <w:sz w:val="44"/>
          <w:szCs w:val="44"/>
        </w:rPr>
        <w:t>扩（重）建加油站规划确认表</w:t>
      </w:r>
    </w:p>
    <w:p>
      <w:pPr>
        <w:jc w:val="center"/>
        <w:rPr>
          <w:rFonts w:hint="eastAsia"/>
        </w:rPr>
      </w:pPr>
    </w:p>
    <w:p>
      <w:pPr>
        <w:jc w:val="center"/>
        <w:rPr>
          <w:rFonts w:hint="eastAsia"/>
        </w:rPr>
      </w:pPr>
    </w:p>
    <w:tbl>
      <w:tblPr>
        <w:tblStyle w:val="6"/>
        <w:tblW w:w="14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020"/>
        <w:gridCol w:w="2605"/>
        <w:gridCol w:w="1213"/>
        <w:gridCol w:w="1907"/>
        <w:gridCol w:w="3192"/>
        <w:gridCol w:w="236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2"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1020"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县（市、区）</w:t>
            </w:r>
          </w:p>
        </w:tc>
        <w:tc>
          <w:tcPr>
            <w:tcW w:w="2605"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加油站名称</w:t>
            </w:r>
          </w:p>
        </w:tc>
        <w:tc>
          <w:tcPr>
            <w:tcW w:w="1213"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证书编号</w:t>
            </w:r>
          </w:p>
        </w:tc>
        <w:tc>
          <w:tcPr>
            <w:tcW w:w="1907"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所在路段</w:t>
            </w:r>
          </w:p>
        </w:tc>
        <w:tc>
          <w:tcPr>
            <w:tcW w:w="3192"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储油罐容量（加油枪数量）</w:t>
            </w:r>
          </w:p>
        </w:tc>
        <w:tc>
          <w:tcPr>
            <w:tcW w:w="2368" w:type="dxa"/>
            <w:noWrap/>
            <w:vAlign w:val="center"/>
          </w:tcPr>
          <w:p>
            <w:pPr>
              <w:jc w:val="both"/>
              <w:rPr>
                <w:rFonts w:ascii="黑体" w:hAnsi="黑体" w:eastAsia="黑体" w:cs="黑体"/>
                <w:b/>
                <w:bCs/>
                <w:sz w:val="24"/>
                <w:szCs w:val="24"/>
              </w:rPr>
            </w:pPr>
            <w:r>
              <w:rPr>
                <w:rFonts w:hint="eastAsia" w:ascii="黑体" w:hAnsi="黑体" w:eastAsia="黑体" w:cs="黑体"/>
                <w:b/>
                <w:bCs/>
                <w:sz w:val="24"/>
                <w:szCs w:val="24"/>
              </w:rPr>
              <w:t>成品油</w:t>
            </w:r>
            <w:r>
              <w:rPr>
                <w:rFonts w:hint="eastAsia" w:ascii="黑体" w:hAnsi="黑体" w:eastAsia="黑体" w:cs="黑体"/>
                <w:b/>
                <w:bCs/>
                <w:sz w:val="24"/>
                <w:szCs w:val="24"/>
                <w:lang w:val="en-US" w:eastAsia="zh-CN"/>
              </w:rPr>
              <w:t>分销</w:t>
            </w:r>
            <w:r>
              <w:rPr>
                <w:rFonts w:hint="eastAsia" w:ascii="黑体" w:hAnsi="黑体" w:eastAsia="黑体" w:cs="黑体"/>
                <w:b/>
                <w:bCs/>
                <w:sz w:val="24"/>
                <w:szCs w:val="24"/>
              </w:rPr>
              <w:t>体系“十</w:t>
            </w:r>
            <w:r>
              <w:rPr>
                <w:rFonts w:hint="eastAsia" w:ascii="黑体" w:hAnsi="黑体" w:eastAsia="黑体" w:cs="黑体"/>
                <w:b/>
                <w:bCs/>
                <w:sz w:val="24"/>
                <w:szCs w:val="24"/>
                <w:lang w:val="en-US" w:eastAsia="zh-CN"/>
              </w:rPr>
              <w:t>四</w:t>
            </w:r>
            <w:r>
              <w:rPr>
                <w:rFonts w:hint="eastAsia" w:ascii="黑体" w:hAnsi="黑体" w:eastAsia="黑体" w:cs="黑体"/>
                <w:b/>
                <w:bCs/>
                <w:sz w:val="24"/>
                <w:szCs w:val="24"/>
              </w:rPr>
              <w:t>五”发展规划（20</w:t>
            </w:r>
            <w:r>
              <w:rPr>
                <w:rFonts w:hint="eastAsia" w:ascii="黑体" w:hAnsi="黑体" w:eastAsia="黑体" w:cs="黑体"/>
                <w:b/>
                <w:bCs/>
                <w:sz w:val="24"/>
                <w:szCs w:val="24"/>
                <w:lang w:val="en-US" w:eastAsia="zh-CN"/>
              </w:rPr>
              <w:t>21</w:t>
            </w:r>
            <w:r>
              <w:rPr>
                <w:rFonts w:hint="eastAsia" w:ascii="黑体" w:hAnsi="黑体" w:eastAsia="黑体" w:cs="黑体"/>
                <w:b/>
                <w:bCs/>
                <w:sz w:val="24"/>
                <w:szCs w:val="24"/>
              </w:rPr>
              <w:t>-202</w:t>
            </w:r>
            <w:r>
              <w:rPr>
                <w:rFonts w:hint="eastAsia" w:ascii="黑体" w:hAnsi="黑体" w:eastAsia="黑体" w:cs="黑体"/>
                <w:b/>
                <w:bCs/>
                <w:sz w:val="24"/>
                <w:szCs w:val="24"/>
                <w:lang w:val="en-US" w:eastAsia="zh-CN"/>
              </w:rPr>
              <w:t>5</w:t>
            </w:r>
            <w:r>
              <w:rPr>
                <w:rFonts w:hint="eastAsia" w:ascii="黑体" w:hAnsi="黑体" w:eastAsia="黑体" w:cs="黑体"/>
                <w:b/>
                <w:bCs/>
                <w:sz w:val="24"/>
                <w:szCs w:val="24"/>
              </w:rPr>
              <w:t>年）序号及编码</w:t>
            </w:r>
          </w:p>
        </w:tc>
        <w:tc>
          <w:tcPr>
            <w:tcW w:w="1557"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blHeader/>
          <w:jc w:val="center"/>
        </w:trPr>
        <w:tc>
          <w:tcPr>
            <w:tcW w:w="622" w:type="dxa"/>
            <w:noWrap/>
            <w:vAlign w:val="center"/>
          </w:tcPr>
          <w:p>
            <w:pPr>
              <w:jc w:val="center"/>
              <w:rPr>
                <w:rFonts w:ascii="Times New Roman" w:hAnsi="Times New Roman" w:eastAsia="仿宋"/>
                <w:sz w:val="24"/>
                <w:szCs w:val="24"/>
              </w:rPr>
            </w:pPr>
            <w:r>
              <w:rPr>
                <w:rFonts w:ascii="Times New Roman" w:hAnsi="Times New Roman" w:eastAsia="仿宋"/>
                <w:sz w:val="24"/>
                <w:szCs w:val="24"/>
              </w:rPr>
              <w:t>1</w:t>
            </w:r>
          </w:p>
        </w:tc>
        <w:tc>
          <w:tcPr>
            <w:tcW w:w="1020"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普宁市</w:t>
            </w:r>
          </w:p>
        </w:tc>
        <w:tc>
          <w:tcPr>
            <w:tcW w:w="2605" w:type="dxa"/>
            <w:noWrap/>
            <w:vAlign w:val="center"/>
          </w:tcPr>
          <w:p>
            <w:pPr>
              <w:rPr>
                <w:rFonts w:hint="default" w:ascii="仿宋_GB2312" w:hAnsi="Times New Roman" w:eastAsia="仿宋_GB2312"/>
                <w:sz w:val="24"/>
                <w:szCs w:val="24"/>
                <w:lang w:val="en-US"/>
              </w:rPr>
            </w:pPr>
            <w:r>
              <w:rPr>
                <w:rFonts w:hint="eastAsia" w:ascii="仿宋_GB2312" w:hAnsi="Times New Roman" w:eastAsia="仿宋_GB2312"/>
                <w:sz w:val="24"/>
                <w:szCs w:val="24"/>
              </w:rPr>
              <w:t>普宁市</w:t>
            </w:r>
            <w:r>
              <w:rPr>
                <w:rFonts w:hint="eastAsia" w:ascii="仿宋_GB2312" w:hAnsi="Times New Roman" w:eastAsia="仿宋_GB2312"/>
                <w:sz w:val="24"/>
                <w:szCs w:val="24"/>
                <w:lang w:val="en-US" w:eastAsia="zh-CN"/>
              </w:rPr>
              <w:t>冠兴石油化工有限公司</w:t>
            </w:r>
          </w:p>
        </w:tc>
        <w:tc>
          <w:tcPr>
            <w:tcW w:w="1213" w:type="dxa"/>
            <w:noWrap/>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44V</w:t>
            </w:r>
            <w:r>
              <w:rPr>
                <w:rFonts w:hint="eastAsia" w:ascii="仿宋_GB2312" w:hAnsi="Times New Roman" w:eastAsia="仿宋_GB2312"/>
                <w:sz w:val="24"/>
                <w:szCs w:val="24"/>
                <w:lang w:val="en-US" w:eastAsia="zh-CN"/>
              </w:rPr>
              <w:t>61245</w:t>
            </w:r>
          </w:p>
        </w:tc>
        <w:tc>
          <w:tcPr>
            <w:tcW w:w="1907" w:type="dxa"/>
            <w:noWrap/>
            <w:vAlign w:val="center"/>
          </w:tcPr>
          <w:p>
            <w:pP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普宁市普宁大道南侧、赤水林场西侧</w:t>
            </w:r>
          </w:p>
        </w:tc>
        <w:tc>
          <w:tcPr>
            <w:tcW w:w="3192" w:type="dxa"/>
            <w:noWrap/>
            <w:vAlign w:val="center"/>
          </w:tcPr>
          <w:p>
            <w:pP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30m³汽油罐4个，30m³柴油罐2个；加油机改造为6台6枪加油机，加油</w:t>
            </w:r>
            <w:bookmarkStart w:id="0" w:name="_GoBack"/>
            <w:bookmarkEnd w:id="0"/>
            <w:r>
              <w:rPr>
                <w:rFonts w:hint="eastAsia" w:ascii="仿宋_GB2312" w:hAnsi="Times New Roman" w:eastAsia="仿宋_GB2312"/>
                <w:sz w:val="24"/>
                <w:szCs w:val="24"/>
                <w:lang w:val="en-US" w:eastAsia="zh-CN"/>
              </w:rPr>
              <w:t>枪36支。</w:t>
            </w:r>
          </w:p>
        </w:tc>
        <w:tc>
          <w:tcPr>
            <w:tcW w:w="2368"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附表7：序号</w:t>
            </w:r>
            <w:r>
              <w:rPr>
                <w:rFonts w:hint="eastAsia" w:ascii="仿宋_GB2312" w:hAnsi="Times New Roman" w:eastAsia="仿宋_GB2312"/>
                <w:sz w:val="24"/>
                <w:szCs w:val="24"/>
                <w:lang w:val="en-US" w:eastAsia="zh-CN"/>
              </w:rPr>
              <w:t>195</w:t>
            </w:r>
            <w:r>
              <w:rPr>
                <w:rFonts w:hint="eastAsia" w:ascii="仿宋_GB2312" w:hAnsi="Times New Roman" w:eastAsia="仿宋_GB2312"/>
                <w:sz w:val="24"/>
                <w:szCs w:val="24"/>
              </w:rPr>
              <w:t>#编码</w:t>
            </w:r>
            <w:r>
              <w:rPr>
                <w:rFonts w:hint="eastAsia" w:ascii="仿宋_GB2312" w:hAnsi="Times New Roman" w:eastAsia="仿宋_GB2312"/>
                <w:sz w:val="24"/>
                <w:szCs w:val="24"/>
                <w:lang w:val="en-US" w:eastAsia="zh-CN"/>
              </w:rPr>
              <w:t>V29</w:t>
            </w:r>
            <w:r>
              <w:rPr>
                <w:rFonts w:hint="eastAsia" w:ascii="仿宋_GB2312" w:hAnsi="Times New Roman" w:eastAsia="仿宋_GB2312"/>
                <w:sz w:val="24"/>
                <w:szCs w:val="24"/>
              </w:rPr>
              <w:t>#</w:t>
            </w:r>
          </w:p>
        </w:tc>
        <w:tc>
          <w:tcPr>
            <w:tcW w:w="1557"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原二级，改建后二级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622" w:type="dxa"/>
            <w:noWrap/>
            <w:vAlign w:val="center"/>
          </w:tcPr>
          <w:p>
            <w:pPr>
              <w:jc w:val="center"/>
              <w:rPr>
                <w:rFonts w:ascii="Times New Roman" w:hAnsi="Times New Roman" w:eastAsia="仿宋"/>
                <w:sz w:val="24"/>
                <w:szCs w:val="24"/>
              </w:rPr>
            </w:pPr>
            <w:r>
              <w:rPr>
                <w:rFonts w:ascii="Times New Roman" w:hAnsi="Times New Roman" w:eastAsia="仿宋"/>
                <w:sz w:val="24"/>
                <w:szCs w:val="24"/>
              </w:rPr>
              <w:t>2</w:t>
            </w:r>
          </w:p>
          <w:p>
            <w:pPr>
              <w:jc w:val="center"/>
              <w:rPr>
                <w:rFonts w:ascii="Times New Roman" w:hAnsi="Times New Roman" w:eastAsia="仿宋"/>
                <w:sz w:val="24"/>
                <w:szCs w:val="24"/>
              </w:rPr>
            </w:pPr>
          </w:p>
        </w:tc>
        <w:tc>
          <w:tcPr>
            <w:tcW w:w="1020"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lang w:val="en-US" w:eastAsia="zh-CN"/>
              </w:rPr>
              <w:t>揭东区</w:t>
            </w:r>
          </w:p>
        </w:tc>
        <w:tc>
          <w:tcPr>
            <w:tcW w:w="2605" w:type="dxa"/>
            <w:noWrap/>
            <w:vAlign w:val="center"/>
          </w:tcPr>
          <w:p>
            <w:pPr>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揭阳</w:t>
            </w:r>
            <w:r>
              <w:rPr>
                <w:rFonts w:hint="eastAsia" w:ascii="仿宋_GB2312" w:hAnsi="Times New Roman" w:eastAsia="仿宋_GB2312"/>
                <w:sz w:val="24"/>
                <w:szCs w:val="24"/>
                <w:lang w:val="en-US" w:eastAsia="zh-CN"/>
              </w:rPr>
              <w:t>产业园月城镇东升加油站</w:t>
            </w:r>
          </w:p>
        </w:tc>
        <w:tc>
          <w:tcPr>
            <w:tcW w:w="1213" w:type="dxa"/>
            <w:noWrap/>
            <w:vAlign w:val="center"/>
          </w:tcPr>
          <w:p>
            <w:pPr>
              <w:jc w:val="center"/>
              <w:rPr>
                <w:rFonts w:hint="default" w:ascii="仿宋_GB2312" w:hAnsi="Times New Roman" w:eastAsia="仿宋_GB2312"/>
                <w:sz w:val="24"/>
                <w:szCs w:val="24"/>
                <w:lang w:val="en-US" w:eastAsia="zh-CN"/>
              </w:rPr>
            </w:pPr>
            <w:r>
              <w:rPr>
                <w:rFonts w:hint="eastAsia" w:ascii="仿宋_GB2312" w:hAnsi="仿宋" w:eastAsia="仿宋_GB2312" w:cs="仿宋"/>
                <w:sz w:val="24"/>
                <w:szCs w:val="24"/>
              </w:rPr>
              <w:t>44V</w:t>
            </w:r>
            <w:r>
              <w:rPr>
                <w:rFonts w:hint="eastAsia" w:ascii="仿宋_GB2312" w:hAnsi="仿宋" w:eastAsia="仿宋_GB2312" w:cs="仿宋"/>
                <w:sz w:val="24"/>
                <w:szCs w:val="24"/>
                <w:lang w:val="en-US" w:eastAsia="zh-CN"/>
              </w:rPr>
              <w:t>40303</w:t>
            </w:r>
          </w:p>
        </w:tc>
        <w:tc>
          <w:tcPr>
            <w:tcW w:w="1907" w:type="dxa"/>
            <w:noWrap/>
            <w:vAlign w:val="center"/>
          </w:tcPr>
          <w:p>
            <w:pPr>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揭阳</w:t>
            </w:r>
            <w:r>
              <w:rPr>
                <w:rFonts w:hint="eastAsia" w:ascii="仿宋_GB2312" w:hAnsi="Times New Roman" w:eastAsia="仿宋_GB2312"/>
                <w:sz w:val="24"/>
                <w:szCs w:val="24"/>
                <w:lang w:val="en-US" w:eastAsia="zh-CN"/>
              </w:rPr>
              <w:t>市揭东区月城镇玉步村</w:t>
            </w:r>
          </w:p>
        </w:tc>
        <w:tc>
          <w:tcPr>
            <w:tcW w:w="3192" w:type="dxa"/>
            <w:noWrap/>
            <w:vAlign w:val="center"/>
          </w:tcPr>
          <w:p>
            <w:pPr>
              <w:jc w:val="left"/>
              <w:rPr>
                <w:rFonts w:hint="eastAsia" w:ascii="仿宋_GB2312" w:hAnsi="Times New Roman" w:eastAsia="仿宋_GB2312"/>
                <w:sz w:val="24"/>
                <w:szCs w:val="24"/>
                <w:lang w:eastAsia="zh-CN"/>
              </w:rPr>
            </w:pPr>
            <w:r>
              <w:rPr>
                <w:rFonts w:hint="eastAsia" w:ascii="仿宋_GB2312" w:hAnsi="仿宋" w:eastAsia="仿宋_GB2312" w:cs="仿宋"/>
                <w:sz w:val="24"/>
                <w:szCs w:val="24"/>
                <w:lang w:val="en-US" w:eastAsia="zh-CN"/>
              </w:rPr>
              <w:t>30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仿宋" w:eastAsia="仿宋_GB2312" w:cs="仿宋"/>
                <w:sz w:val="24"/>
                <w:szCs w:val="24"/>
              </w:rPr>
              <w:t>汽油罐</w:t>
            </w:r>
            <w:r>
              <w:rPr>
                <w:rFonts w:hint="eastAsia" w:ascii="仿宋_GB2312" w:hAnsi="仿宋" w:eastAsia="仿宋_GB2312" w:cs="仿宋"/>
                <w:sz w:val="24"/>
                <w:szCs w:val="24"/>
                <w:lang w:val="en-US" w:eastAsia="zh-CN"/>
              </w:rPr>
              <w:t>2</w:t>
            </w:r>
            <w:r>
              <w:rPr>
                <w:rFonts w:hint="eastAsia" w:ascii="仿宋_GB2312" w:hAnsi="仿宋" w:eastAsia="仿宋_GB2312" w:cs="仿宋"/>
                <w:sz w:val="24"/>
                <w:szCs w:val="24"/>
              </w:rPr>
              <w:t>个，</w:t>
            </w: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仿宋" w:eastAsia="仿宋_GB2312" w:cs="仿宋"/>
                <w:sz w:val="24"/>
                <w:szCs w:val="24"/>
              </w:rPr>
              <w:t>汽油罐</w:t>
            </w:r>
            <w:r>
              <w:rPr>
                <w:rFonts w:hint="eastAsia" w:ascii="仿宋_GB2312" w:hAnsi="仿宋" w:eastAsia="仿宋_GB2312" w:cs="仿宋"/>
                <w:sz w:val="24"/>
                <w:szCs w:val="24"/>
                <w:lang w:val="en-US" w:eastAsia="zh-CN"/>
              </w:rPr>
              <w:t>1</w:t>
            </w:r>
            <w:r>
              <w:rPr>
                <w:rFonts w:hint="eastAsia" w:ascii="仿宋_GB2312" w:hAnsi="仿宋" w:eastAsia="仿宋_GB2312" w:cs="仿宋"/>
                <w:sz w:val="24"/>
                <w:szCs w:val="24"/>
              </w:rPr>
              <w:t>个，</w:t>
            </w: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仿宋" w:eastAsia="仿宋_GB2312" w:cs="仿宋"/>
                <w:sz w:val="24"/>
                <w:szCs w:val="24"/>
              </w:rPr>
              <w:t>柴油罐1个；加油枪</w:t>
            </w:r>
            <w:r>
              <w:rPr>
                <w:rFonts w:hint="eastAsia" w:ascii="仿宋_GB2312" w:hAnsi="仿宋" w:eastAsia="仿宋_GB2312" w:cs="仿宋"/>
                <w:sz w:val="24"/>
                <w:szCs w:val="24"/>
                <w:lang w:val="en-US" w:eastAsia="zh-CN"/>
              </w:rPr>
              <w:t>24</w:t>
            </w:r>
            <w:r>
              <w:rPr>
                <w:rFonts w:hint="eastAsia" w:ascii="仿宋_GB2312" w:hAnsi="仿宋" w:eastAsia="仿宋_GB2312" w:cs="仿宋"/>
                <w:sz w:val="24"/>
                <w:szCs w:val="24"/>
              </w:rPr>
              <w:t>支</w:t>
            </w:r>
            <w:r>
              <w:rPr>
                <w:rFonts w:hint="eastAsia" w:ascii="仿宋_GB2312" w:hAnsi="仿宋" w:eastAsia="仿宋_GB2312" w:cs="仿宋"/>
                <w:sz w:val="24"/>
                <w:szCs w:val="24"/>
                <w:lang w:eastAsia="zh-CN"/>
              </w:rPr>
              <w:t>。</w:t>
            </w:r>
          </w:p>
        </w:tc>
        <w:tc>
          <w:tcPr>
            <w:tcW w:w="2368"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附表7：序号</w:t>
            </w:r>
            <w:r>
              <w:rPr>
                <w:rFonts w:hint="eastAsia" w:ascii="仿宋_GB2312" w:hAnsi="Times New Roman" w:eastAsia="仿宋_GB2312"/>
                <w:sz w:val="24"/>
                <w:szCs w:val="24"/>
                <w:lang w:val="en-US" w:eastAsia="zh-CN"/>
              </w:rPr>
              <w:t>135</w:t>
            </w:r>
            <w:r>
              <w:rPr>
                <w:rFonts w:hint="eastAsia" w:ascii="仿宋_GB2312" w:hAnsi="Times New Roman" w:eastAsia="仿宋_GB2312"/>
                <w:sz w:val="24"/>
                <w:szCs w:val="24"/>
              </w:rPr>
              <w:t>#编码</w:t>
            </w:r>
            <w:r>
              <w:rPr>
                <w:rFonts w:hint="eastAsia" w:ascii="仿宋_GB2312" w:hAnsi="Times New Roman" w:eastAsia="仿宋_GB2312"/>
                <w:sz w:val="24"/>
                <w:szCs w:val="24"/>
                <w:lang w:val="en-US" w:eastAsia="zh-CN"/>
              </w:rPr>
              <w:t>144</w:t>
            </w:r>
            <w:r>
              <w:rPr>
                <w:rFonts w:hint="eastAsia" w:ascii="仿宋_GB2312" w:hAnsi="Times New Roman" w:eastAsia="仿宋_GB2312"/>
                <w:sz w:val="24"/>
                <w:szCs w:val="24"/>
              </w:rPr>
              <w:t>#</w:t>
            </w:r>
          </w:p>
        </w:tc>
        <w:tc>
          <w:tcPr>
            <w:tcW w:w="1557"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原</w:t>
            </w:r>
            <w:r>
              <w:rPr>
                <w:rFonts w:hint="eastAsia" w:ascii="仿宋_GB2312" w:hAnsi="Times New Roman" w:eastAsia="仿宋_GB2312"/>
                <w:sz w:val="24"/>
                <w:szCs w:val="24"/>
                <w:lang w:val="en-US" w:eastAsia="zh-CN"/>
              </w:rPr>
              <w:t>三</w:t>
            </w:r>
            <w:r>
              <w:rPr>
                <w:rFonts w:hint="eastAsia" w:ascii="仿宋_GB2312" w:hAnsi="Times New Roman" w:eastAsia="仿宋_GB2312"/>
                <w:sz w:val="24"/>
                <w:szCs w:val="24"/>
              </w:rPr>
              <w:t>级，改建后</w:t>
            </w:r>
            <w:r>
              <w:rPr>
                <w:rFonts w:hint="eastAsia" w:ascii="仿宋_GB2312" w:hAnsi="Times New Roman" w:eastAsia="仿宋_GB2312"/>
                <w:sz w:val="24"/>
                <w:szCs w:val="24"/>
                <w:lang w:val="en-US" w:eastAsia="zh-CN"/>
              </w:rPr>
              <w:t>三</w:t>
            </w:r>
            <w:r>
              <w:rPr>
                <w:rFonts w:hint="eastAsia" w:ascii="仿宋_GB2312" w:hAnsi="Times New Roman" w:eastAsia="仿宋_GB2312"/>
                <w:sz w:val="24"/>
                <w:szCs w:val="24"/>
              </w:rPr>
              <w:t>级</w:t>
            </w:r>
          </w:p>
        </w:tc>
      </w:tr>
    </w:tbl>
    <w:p>
      <w:pPr>
        <w:jc w:val="center"/>
        <w:rPr>
          <w:rFonts w:hint="eastAsia"/>
        </w:rPr>
      </w:pPr>
    </w:p>
    <w:sectPr>
      <w:headerReference r:id="rId4" w:type="default"/>
      <w:footerReference r:id="rId5" w:type="default"/>
      <w:pgSz w:w="16840" w:h="11907" w:orient="landscape"/>
      <w:pgMar w:top="1247" w:right="1247" w:bottom="1588" w:left="1814" w:header="851" w:footer="992" w:gutter="0"/>
      <w:pgNumType w:start="1"/>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61672"/>
      <w:docPartObj>
        <w:docPartGallery w:val="autotext"/>
      </w:docPartObj>
    </w:sdtPr>
    <w:sdtEndPr>
      <w:rPr>
        <w:sz w:val="32"/>
        <w:szCs w:val="32"/>
      </w:rPr>
    </w:sdtEndPr>
    <w:sdtContent>
      <w:p>
        <w:pPr>
          <w:pStyle w:val="4"/>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2</w:t>
        </w:r>
        <w:r>
          <w:rPr>
            <w:sz w:val="32"/>
            <w:szCs w:val="32"/>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B464"/>
    <w:multiLevelType w:val="singleLevel"/>
    <w:tmpl w:val="0D96B464"/>
    <w:lvl w:ilvl="0" w:tentative="0">
      <w:start w:val="1"/>
      <w:numFmt w:val="chineseCounting"/>
      <w:suff w:val="nothing"/>
      <w:lvlText w:val="%1、"/>
      <w:lvlJc w:val="left"/>
      <w:rPr>
        <w:rFonts w:hint="eastAsia"/>
      </w:rPr>
    </w:lvl>
  </w:abstractNum>
  <w:abstractNum w:abstractNumId="1">
    <w:nsid w:val="27F231F3"/>
    <w:multiLevelType w:val="singleLevel"/>
    <w:tmpl w:val="27F231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6DA4"/>
    <w:rsid w:val="00012A84"/>
    <w:rsid w:val="00064376"/>
    <w:rsid w:val="00104B66"/>
    <w:rsid w:val="00137037"/>
    <w:rsid w:val="00142C1B"/>
    <w:rsid w:val="00160BDF"/>
    <w:rsid w:val="0016439B"/>
    <w:rsid w:val="00172A3D"/>
    <w:rsid w:val="00182A73"/>
    <w:rsid w:val="00186B88"/>
    <w:rsid w:val="0019189C"/>
    <w:rsid w:val="001C43E3"/>
    <w:rsid w:val="00206F89"/>
    <w:rsid w:val="00210968"/>
    <w:rsid w:val="00244687"/>
    <w:rsid w:val="002543BA"/>
    <w:rsid w:val="00261EE9"/>
    <w:rsid w:val="002A1A08"/>
    <w:rsid w:val="002D2E6E"/>
    <w:rsid w:val="002D3DA6"/>
    <w:rsid w:val="002F4B05"/>
    <w:rsid w:val="002F6C4D"/>
    <w:rsid w:val="0034397A"/>
    <w:rsid w:val="003679A9"/>
    <w:rsid w:val="003971B7"/>
    <w:rsid w:val="003E4219"/>
    <w:rsid w:val="003E6F60"/>
    <w:rsid w:val="00424100"/>
    <w:rsid w:val="004244C3"/>
    <w:rsid w:val="004D76CD"/>
    <w:rsid w:val="004E7A63"/>
    <w:rsid w:val="00504B1B"/>
    <w:rsid w:val="005379E7"/>
    <w:rsid w:val="00553C26"/>
    <w:rsid w:val="005B1B7E"/>
    <w:rsid w:val="005C51CE"/>
    <w:rsid w:val="005C68B9"/>
    <w:rsid w:val="005E5B7A"/>
    <w:rsid w:val="005F3C36"/>
    <w:rsid w:val="005F7435"/>
    <w:rsid w:val="00601BA1"/>
    <w:rsid w:val="00615388"/>
    <w:rsid w:val="00655E05"/>
    <w:rsid w:val="006804D3"/>
    <w:rsid w:val="006A4B52"/>
    <w:rsid w:val="006A524E"/>
    <w:rsid w:val="006D5A7B"/>
    <w:rsid w:val="006E1685"/>
    <w:rsid w:val="00716747"/>
    <w:rsid w:val="00723D41"/>
    <w:rsid w:val="007303C0"/>
    <w:rsid w:val="007476BF"/>
    <w:rsid w:val="007624BF"/>
    <w:rsid w:val="007651F6"/>
    <w:rsid w:val="00770B4E"/>
    <w:rsid w:val="00775D81"/>
    <w:rsid w:val="007D77C7"/>
    <w:rsid w:val="0080544A"/>
    <w:rsid w:val="008055B8"/>
    <w:rsid w:val="0082301E"/>
    <w:rsid w:val="00847C06"/>
    <w:rsid w:val="00867D24"/>
    <w:rsid w:val="00870E03"/>
    <w:rsid w:val="008715AE"/>
    <w:rsid w:val="008B05BA"/>
    <w:rsid w:val="008C18D2"/>
    <w:rsid w:val="008E0A75"/>
    <w:rsid w:val="008E4009"/>
    <w:rsid w:val="0091275C"/>
    <w:rsid w:val="00920707"/>
    <w:rsid w:val="0093557C"/>
    <w:rsid w:val="00953E12"/>
    <w:rsid w:val="0096114D"/>
    <w:rsid w:val="009A02BC"/>
    <w:rsid w:val="009A17CF"/>
    <w:rsid w:val="009A371A"/>
    <w:rsid w:val="009C21DD"/>
    <w:rsid w:val="009C25F0"/>
    <w:rsid w:val="009D3177"/>
    <w:rsid w:val="009E7206"/>
    <w:rsid w:val="00A13AEA"/>
    <w:rsid w:val="00A33A81"/>
    <w:rsid w:val="00A424BA"/>
    <w:rsid w:val="00A82080"/>
    <w:rsid w:val="00AB1C35"/>
    <w:rsid w:val="00AD31FD"/>
    <w:rsid w:val="00AE493B"/>
    <w:rsid w:val="00AE5001"/>
    <w:rsid w:val="00AE6BD4"/>
    <w:rsid w:val="00AF79E3"/>
    <w:rsid w:val="00B020D3"/>
    <w:rsid w:val="00B15FF2"/>
    <w:rsid w:val="00B41B11"/>
    <w:rsid w:val="00B5665F"/>
    <w:rsid w:val="00B61FE0"/>
    <w:rsid w:val="00B83A16"/>
    <w:rsid w:val="00B86F00"/>
    <w:rsid w:val="00BB6D32"/>
    <w:rsid w:val="00BF303D"/>
    <w:rsid w:val="00C006DE"/>
    <w:rsid w:val="00C50877"/>
    <w:rsid w:val="00CB1AA9"/>
    <w:rsid w:val="00CF3CAD"/>
    <w:rsid w:val="00D20699"/>
    <w:rsid w:val="00D416C2"/>
    <w:rsid w:val="00D73D76"/>
    <w:rsid w:val="00D96510"/>
    <w:rsid w:val="00DA504A"/>
    <w:rsid w:val="00DF5E14"/>
    <w:rsid w:val="00E06006"/>
    <w:rsid w:val="00E10D71"/>
    <w:rsid w:val="00E34F8C"/>
    <w:rsid w:val="00E60EE6"/>
    <w:rsid w:val="00E61243"/>
    <w:rsid w:val="00E6274F"/>
    <w:rsid w:val="00E7346F"/>
    <w:rsid w:val="00E80122"/>
    <w:rsid w:val="00EA08CB"/>
    <w:rsid w:val="00ED3FB3"/>
    <w:rsid w:val="00F05092"/>
    <w:rsid w:val="00F23B28"/>
    <w:rsid w:val="00F32BBA"/>
    <w:rsid w:val="00F636AE"/>
    <w:rsid w:val="00F74D52"/>
    <w:rsid w:val="00F95214"/>
    <w:rsid w:val="00FA483C"/>
    <w:rsid w:val="00FE11C8"/>
    <w:rsid w:val="00FF3A4E"/>
    <w:rsid w:val="01454D5E"/>
    <w:rsid w:val="08477D0F"/>
    <w:rsid w:val="08F01182"/>
    <w:rsid w:val="09173695"/>
    <w:rsid w:val="0B995230"/>
    <w:rsid w:val="0BED14C2"/>
    <w:rsid w:val="0C163BDE"/>
    <w:rsid w:val="11063380"/>
    <w:rsid w:val="118B31C9"/>
    <w:rsid w:val="12563C63"/>
    <w:rsid w:val="173E3B12"/>
    <w:rsid w:val="1B6B12E6"/>
    <w:rsid w:val="1E560C29"/>
    <w:rsid w:val="1E8A6DA4"/>
    <w:rsid w:val="274A0D61"/>
    <w:rsid w:val="28FC3879"/>
    <w:rsid w:val="2ABE4EF0"/>
    <w:rsid w:val="32E81307"/>
    <w:rsid w:val="3612147F"/>
    <w:rsid w:val="36161C5E"/>
    <w:rsid w:val="368B1E6C"/>
    <w:rsid w:val="38580C4C"/>
    <w:rsid w:val="3C542F36"/>
    <w:rsid w:val="407410E0"/>
    <w:rsid w:val="4CCB7585"/>
    <w:rsid w:val="4CE925A1"/>
    <w:rsid w:val="4D1D7603"/>
    <w:rsid w:val="50FB1B5A"/>
    <w:rsid w:val="51D34225"/>
    <w:rsid w:val="53A5002E"/>
    <w:rsid w:val="54720575"/>
    <w:rsid w:val="564C62FA"/>
    <w:rsid w:val="56B805AD"/>
    <w:rsid w:val="56C427E5"/>
    <w:rsid w:val="573C41AA"/>
    <w:rsid w:val="59897C72"/>
    <w:rsid w:val="59E87B32"/>
    <w:rsid w:val="5B665028"/>
    <w:rsid w:val="5B7B71FD"/>
    <w:rsid w:val="5C2809DA"/>
    <w:rsid w:val="5CBA48D0"/>
    <w:rsid w:val="5D0123CC"/>
    <w:rsid w:val="5DDF2FFA"/>
    <w:rsid w:val="61BB7797"/>
    <w:rsid w:val="631F2C5F"/>
    <w:rsid w:val="632B2991"/>
    <w:rsid w:val="653B4636"/>
    <w:rsid w:val="69B477C9"/>
    <w:rsid w:val="6BC51348"/>
    <w:rsid w:val="6CE9028C"/>
    <w:rsid w:val="700335EE"/>
    <w:rsid w:val="71012F72"/>
    <w:rsid w:val="711E32B2"/>
    <w:rsid w:val="73C42369"/>
    <w:rsid w:val="75CB3C05"/>
    <w:rsid w:val="765C7A3F"/>
    <w:rsid w:val="788B4E9C"/>
    <w:rsid w:val="7BDB36A9"/>
    <w:rsid w:val="7C2C6AD5"/>
    <w:rsid w:val="7CC21C1B"/>
    <w:rsid w:val="7DA54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8">
    <w:name w:val="fontstyle01"/>
    <w:basedOn w:val="7"/>
    <w:qFormat/>
    <w:uiPriority w:val="0"/>
    <w:rPr>
      <w:rFonts w:hint="eastAsia" w:ascii="新宋体" w:hAnsi="新宋体" w:eastAsia="新宋体"/>
      <w:color w:val="000000"/>
      <w:sz w:val="30"/>
      <w:szCs w:val="30"/>
    </w:rPr>
  </w:style>
  <w:style w:type="character" w:customStyle="1" w:styleId="9">
    <w:name w:val="页脚 Char"/>
    <w:basedOn w:val="7"/>
    <w:link w:val="4"/>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F8807-FF1A-4967-BDCC-E1B0C70B4FAC}">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838</Characters>
  <Lines>6</Lines>
  <Paragraphs>1</Paragraphs>
  <TotalTime>61</TotalTime>
  <ScaleCrop>false</ScaleCrop>
  <LinksUpToDate>false</LinksUpToDate>
  <CharactersWithSpaces>984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2021-04-21T07:23:00Z</dcterms:created>
  <dc:creator>陈励</dc:creator>
  <cp:lastModifiedBy>Administrator</cp:lastModifiedBy>
  <cp:lastPrinted>2022-07-21T06:57:49Z</cp:lastPrinted>
  <dcterms:modified xsi:type="dcterms:W3CDTF">2022-07-21T07:09:27Z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