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仿宋简体"/>
          <w:sz w:val="32"/>
          <w:szCs w:val="32"/>
        </w:rPr>
      </w:pPr>
    </w:p>
    <w:p>
      <w:pPr>
        <w:spacing w:line="600" w:lineRule="exact"/>
        <w:jc w:val="center"/>
        <w:rPr>
          <w:rFonts w:ascii="Times New Roman" w:hAnsi="Times New Roman" w:eastAsia="方正仿宋简体"/>
          <w:sz w:val="32"/>
          <w:szCs w:val="32"/>
        </w:rPr>
      </w:pPr>
    </w:p>
    <w:p>
      <w:pPr>
        <w:wordWrap w:val="0"/>
        <w:spacing w:line="600" w:lineRule="exact"/>
        <w:jc w:val="right"/>
        <w:rPr>
          <w:rFonts w:ascii="仿宋_GB2312" w:hAnsi="仿宋" w:eastAsia="仿宋_GB2312" w:cs="仿宋"/>
          <w:sz w:val="32"/>
          <w:szCs w:val="32"/>
        </w:rPr>
      </w:pPr>
      <w:r>
        <w:rPr>
          <w:rFonts w:hint="eastAsia" w:ascii="仿宋_GB2312" w:hAnsi="仿宋" w:eastAsia="仿宋_GB2312" w:cs="仿宋"/>
          <w:sz w:val="32"/>
          <w:szCs w:val="32"/>
        </w:rPr>
        <w:t>揭市发改油气函〔202</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550</w:t>
      </w:r>
      <w:r>
        <w:rPr>
          <w:rFonts w:hint="eastAsia" w:ascii="仿宋_GB2312" w:hAnsi="仿宋" w:eastAsia="仿宋_GB2312" w:cs="仿宋"/>
          <w:sz w:val="32"/>
          <w:szCs w:val="32"/>
        </w:rPr>
        <w:t>号</w:t>
      </w:r>
    </w:p>
    <w:p>
      <w:pPr>
        <w:spacing w:line="600" w:lineRule="exact"/>
        <w:rPr>
          <w:rFonts w:ascii="仿宋" w:hAnsi="仿宋" w:eastAsia="仿宋" w:cs="仿宋"/>
          <w:sz w:val="32"/>
          <w:szCs w:val="32"/>
        </w:rPr>
      </w:pPr>
    </w:p>
    <w:p>
      <w:pPr>
        <w:spacing w:line="600" w:lineRule="exact"/>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关于确认普宁市</w:t>
      </w:r>
      <w:r>
        <w:rPr>
          <w:rFonts w:hint="eastAsia" w:ascii="华文中宋" w:hAnsi="华文中宋" w:eastAsia="华文中宋" w:cs="华文中宋"/>
          <w:b/>
          <w:bCs/>
          <w:sz w:val="44"/>
          <w:szCs w:val="44"/>
          <w:lang w:val="en-US" w:eastAsia="zh-CN"/>
        </w:rPr>
        <w:t>186#榕城区188#</w:t>
      </w:r>
      <w:r>
        <w:rPr>
          <w:rFonts w:hint="eastAsia" w:ascii="华文中宋" w:hAnsi="华文中宋" w:eastAsia="华文中宋" w:cs="华文中宋"/>
          <w:b/>
          <w:bCs/>
          <w:sz w:val="44"/>
          <w:szCs w:val="44"/>
        </w:rPr>
        <w:t>加油站</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b/>
          <w:bCs/>
          <w:sz w:val="44"/>
          <w:szCs w:val="44"/>
        </w:rPr>
        <w:t>规划点的复函</w:t>
      </w:r>
    </w:p>
    <w:p>
      <w:pPr>
        <w:spacing w:line="600" w:lineRule="exact"/>
        <w:rPr>
          <w:rFonts w:ascii="华文中宋" w:hAnsi="华文中宋" w:eastAsia="华文中宋" w:cs="华文中宋"/>
          <w:sz w:val="44"/>
          <w:szCs w:val="44"/>
        </w:rPr>
      </w:pPr>
    </w:p>
    <w:p>
      <w:pPr>
        <w:spacing w:line="600" w:lineRule="exact"/>
        <w:rPr>
          <w:rFonts w:ascii="仿宋_GB2312" w:hAnsi="仿宋" w:eastAsia="仿宋_GB2312" w:cs="仿宋"/>
          <w:sz w:val="32"/>
          <w:szCs w:val="32"/>
        </w:rPr>
      </w:pPr>
      <w:r>
        <w:rPr>
          <w:rFonts w:hint="eastAsia" w:ascii="仿宋_GB2312" w:hAnsi="仿宋" w:eastAsia="仿宋_GB2312" w:cs="仿宋"/>
          <w:sz w:val="32"/>
          <w:szCs w:val="32"/>
        </w:rPr>
        <w:t>普宁市、</w:t>
      </w:r>
      <w:r>
        <w:rPr>
          <w:rFonts w:hint="eastAsia" w:ascii="仿宋_GB2312" w:hAnsi="仿宋" w:eastAsia="仿宋_GB2312" w:cs="仿宋"/>
          <w:sz w:val="32"/>
          <w:szCs w:val="32"/>
          <w:lang w:val="en-US" w:eastAsia="zh-CN"/>
        </w:rPr>
        <w:t>榕城</w:t>
      </w:r>
      <w:r>
        <w:rPr>
          <w:rFonts w:hint="eastAsia" w:ascii="仿宋_GB2312" w:hAnsi="仿宋" w:eastAsia="仿宋_GB2312" w:cs="仿宋"/>
          <w:sz w:val="32"/>
          <w:szCs w:val="32"/>
        </w:rPr>
        <w:t>区发改局：</w:t>
      </w:r>
    </w:p>
    <w:p>
      <w:pPr>
        <w:wordWrap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《关于上报揭阳市序号18</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rPr>
        <w:t>#编码</w:t>
      </w:r>
      <w:r>
        <w:rPr>
          <w:rFonts w:hint="eastAsia" w:ascii="仿宋_GB2312" w:hAnsi="仿宋" w:eastAsia="仿宋_GB2312" w:cs="仿宋"/>
          <w:sz w:val="32"/>
          <w:szCs w:val="32"/>
          <w:lang w:val="en-US" w:eastAsia="zh-CN"/>
        </w:rPr>
        <w:t>YV50</w:t>
      </w:r>
      <w:r>
        <w:rPr>
          <w:rFonts w:hint="eastAsia" w:ascii="仿宋_GB2312" w:hAnsi="仿宋" w:eastAsia="仿宋_GB2312" w:cs="仿宋"/>
          <w:sz w:val="32"/>
          <w:szCs w:val="32"/>
        </w:rPr>
        <w:t>#加油站规划点改建规划确认的请示》（普发改〔20</w:t>
      </w:r>
      <w:r>
        <w:rPr>
          <w:rFonts w:hint="eastAsia" w:ascii="仿宋_GB2312" w:hAnsi="仿宋" w:eastAsia="仿宋_GB2312" w:cs="仿宋"/>
          <w:sz w:val="32"/>
          <w:szCs w:val="32"/>
          <w:lang w:val="en-US" w:eastAsia="zh-CN"/>
        </w:rPr>
        <w:t>22</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85</w:t>
      </w:r>
      <w:r>
        <w:rPr>
          <w:rFonts w:hint="eastAsia" w:ascii="仿宋_GB2312" w:hAnsi="仿宋" w:eastAsia="仿宋_GB2312" w:cs="仿宋"/>
          <w:sz w:val="32"/>
          <w:szCs w:val="32"/>
        </w:rPr>
        <w:t>号）等2县（市、区）2座加油站规划点确认的申请文件收悉。经研究，函复如下：</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bCs/>
          <w:sz w:val="32"/>
          <w:szCs w:val="32"/>
        </w:rPr>
        <w:t>一</w:t>
      </w:r>
      <w:r>
        <w:rPr>
          <w:rFonts w:hint="eastAsia" w:ascii="仿宋_GB2312" w:hAnsi="仿宋" w:eastAsia="仿宋_GB2312" w:cs="仿宋"/>
          <w:b/>
          <w:bCs/>
          <w:sz w:val="32"/>
          <w:szCs w:val="32"/>
        </w:rPr>
        <w:t>、</w:t>
      </w:r>
      <w:r>
        <w:rPr>
          <w:rFonts w:hint="eastAsia" w:ascii="仿宋_GB2312" w:hAnsi="仿宋" w:eastAsia="仿宋_GB2312" w:cs="仿宋"/>
          <w:sz w:val="32"/>
          <w:szCs w:val="32"/>
        </w:rPr>
        <w:t>为提高设施设备环保水平、消除安全隐患、满足周边群众用油需求，同意普宁市、</w:t>
      </w:r>
      <w:r>
        <w:rPr>
          <w:rFonts w:hint="eastAsia" w:ascii="仿宋_GB2312" w:hAnsi="仿宋" w:eastAsia="仿宋_GB2312" w:cs="仿宋"/>
          <w:sz w:val="32"/>
          <w:szCs w:val="32"/>
          <w:lang w:val="en-US" w:eastAsia="zh-CN"/>
        </w:rPr>
        <w:t>榕城</w:t>
      </w:r>
      <w:r>
        <w:rPr>
          <w:rFonts w:hint="eastAsia" w:ascii="仿宋_GB2312" w:hAnsi="仿宋" w:eastAsia="仿宋_GB2312" w:cs="仿宋"/>
          <w:sz w:val="32"/>
          <w:szCs w:val="32"/>
        </w:rPr>
        <w:t>区2座加油站在原址基础上</w:t>
      </w:r>
      <w:r>
        <w:rPr>
          <w:rFonts w:hint="eastAsia" w:ascii="仿宋_GB2312" w:hAnsi="仿宋" w:eastAsia="仿宋_GB2312" w:cs="仿宋"/>
          <w:sz w:val="32"/>
          <w:szCs w:val="32"/>
          <w:lang w:val="en-US" w:eastAsia="zh-CN"/>
        </w:rPr>
        <w:t>改</w:t>
      </w:r>
      <w:r>
        <w:rPr>
          <w:rFonts w:hint="eastAsia" w:ascii="仿宋_GB2312" w:hAnsi="仿宋" w:eastAsia="仿宋_GB2312" w:cs="仿宋"/>
          <w:sz w:val="32"/>
          <w:szCs w:val="32"/>
        </w:rPr>
        <w:t>建（详见附件）。</w:t>
      </w:r>
    </w:p>
    <w:p>
      <w:pPr>
        <w:spacing w:line="600" w:lineRule="exact"/>
        <w:rPr>
          <w:rFonts w:ascii="仿宋_GB2312" w:hAnsi="仿宋" w:eastAsia="仿宋_GB2312" w:cs="仿宋"/>
          <w:sz w:val="32"/>
          <w:szCs w:val="32"/>
        </w:rPr>
      </w:pPr>
      <w:r>
        <w:rPr>
          <w:rFonts w:hint="eastAsia" w:ascii="仿宋_GB2312" w:hAnsi="仿宋" w:eastAsia="仿宋_GB2312" w:cs="仿宋"/>
          <w:sz w:val="32"/>
          <w:szCs w:val="32"/>
        </w:rPr>
        <w:t xml:space="preserve">    二、请通知加油站业主凭本规划确认文件到有关单位办理建设等相关手续。改建竣工后，各能源主管部门要依据自然资源、住建、应急管理、生态环境、气象、市场监管等部门的有关竣工验收证明进行复核。加油站业主凭有关材料向县（市、区）能源主管部门报备后方可营业。涉及扩容项目，凭有关材料报我局审批并申领新证后，方可办理营业手续。</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三、本规划确认文件有效期两年。规划确认原则上不予延期，如有充分理由确需延期，应在文件到期前两个月向我局提出申请，逾期不予受理。加油</w:t>
      </w:r>
      <w:bookmarkStart w:id="0" w:name="_GoBack"/>
      <w:bookmarkEnd w:id="0"/>
      <w:r>
        <w:rPr>
          <w:rFonts w:hint="eastAsia" w:ascii="仿宋_GB2312" w:hAnsi="仿宋" w:eastAsia="仿宋_GB2312" w:cs="仿宋"/>
          <w:sz w:val="32"/>
          <w:szCs w:val="32"/>
        </w:rPr>
        <w:t>站业主需在有效期内取得建设部门核发的《建筑工程施工许可证》，未取得《建筑工程施工许可证》之前，不得开工建设。</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专此函复。</w:t>
      </w:r>
    </w:p>
    <w:p>
      <w:pPr>
        <w:spacing w:line="600" w:lineRule="exact"/>
        <w:ind w:firstLine="640" w:firstLineChars="200"/>
        <w:rPr>
          <w:rFonts w:ascii="仿宋_GB2312" w:hAnsi="仿宋" w:eastAsia="仿宋_GB2312" w:cs="仿宋"/>
          <w:sz w:val="32"/>
          <w:szCs w:val="32"/>
        </w:rPr>
      </w:pPr>
    </w:p>
    <w:p>
      <w:pPr>
        <w:spacing w:line="600" w:lineRule="exact"/>
        <w:rPr>
          <w:rFonts w:ascii="仿宋_GB2312" w:hAnsi="仿宋" w:eastAsia="仿宋_GB2312" w:cs="仿宋"/>
          <w:sz w:val="32"/>
          <w:szCs w:val="32"/>
        </w:rPr>
      </w:pPr>
      <w:r>
        <w:rPr>
          <w:rFonts w:hint="eastAsia" w:ascii="仿宋_GB2312" w:hAnsi="仿宋" w:eastAsia="仿宋_GB2312" w:cs="仿宋"/>
          <w:sz w:val="32"/>
          <w:szCs w:val="32"/>
        </w:rPr>
        <w:t xml:space="preserve">    附件：原址改建、扩建加油站规划确认表</w:t>
      </w: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tabs>
          <w:tab w:val="left" w:pos="8222"/>
        </w:tabs>
        <w:wordWrap w:val="0"/>
        <w:spacing w:line="600" w:lineRule="exact"/>
        <w:ind w:right="848" w:rightChars="404"/>
        <w:rPr>
          <w:rFonts w:ascii="仿宋_GB2312" w:hAnsi="仿宋" w:eastAsia="仿宋_GB2312" w:cs="仿宋"/>
          <w:sz w:val="32"/>
          <w:szCs w:val="32"/>
        </w:rPr>
      </w:pPr>
      <w:r>
        <w:rPr>
          <w:rFonts w:hint="eastAsia" w:ascii="仿宋_GB2312" w:hAnsi="仿宋" w:eastAsia="仿宋_GB2312" w:cs="仿宋"/>
          <w:sz w:val="32"/>
          <w:szCs w:val="32"/>
        </w:rPr>
        <w:t xml:space="preserve">                                揭阳市发展和改革局 </w:t>
      </w:r>
    </w:p>
    <w:p>
      <w:pPr>
        <w:wordWrap w:val="0"/>
        <w:spacing w:line="600" w:lineRule="exact"/>
        <w:ind w:right="1134" w:rightChars="540"/>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eastAsia="zh-CN"/>
        </w:rPr>
        <w:t>2022年</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lang w:eastAsia="zh-CN"/>
        </w:rPr>
        <w:t>月</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lang w:eastAsia="zh-CN"/>
        </w:rPr>
        <w:t>日</w:t>
      </w:r>
      <w:r>
        <w:rPr>
          <w:rFonts w:hint="eastAsia" w:ascii="仿宋_GB2312" w:hAnsi="仿宋" w:eastAsia="仿宋_GB2312" w:cs="仿宋"/>
          <w:sz w:val="32"/>
          <w:szCs w:val="32"/>
        </w:rPr>
        <w:t xml:space="preserve">  </w:t>
      </w:r>
    </w:p>
    <w:p>
      <w:pPr>
        <w:wordWrap w:val="0"/>
        <w:spacing w:line="600" w:lineRule="exact"/>
        <w:ind w:right="1291" w:rightChars="615"/>
        <w:rPr>
          <w:rFonts w:ascii="仿宋_GB2312" w:hAnsi="仿宋" w:eastAsia="仿宋_GB2312" w:cs="仿宋"/>
          <w:sz w:val="32"/>
          <w:szCs w:val="32"/>
        </w:rPr>
      </w:pPr>
    </w:p>
    <w:p>
      <w:pPr>
        <w:wordWrap w:val="0"/>
        <w:spacing w:line="600" w:lineRule="exact"/>
        <w:ind w:right="1291" w:rightChars="615"/>
        <w:rPr>
          <w:rFonts w:ascii="仿宋_GB2312" w:hAnsi="仿宋" w:eastAsia="仿宋_GB2312" w:cs="仿宋"/>
          <w:sz w:val="32"/>
          <w:szCs w:val="32"/>
        </w:rPr>
      </w:pPr>
    </w:p>
    <w:p>
      <w:pPr>
        <w:wordWrap w:val="0"/>
        <w:spacing w:line="600" w:lineRule="exact"/>
        <w:ind w:right="1291" w:rightChars="615"/>
        <w:rPr>
          <w:rFonts w:ascii="仿宋_GB2312" w:hAnsi="仿宋" w:eastAsia="仿宋_GB2312" w:cs="仿宋"/>
          <w:sz w:val="32"/>
          <w:szCs w:val="32"/>
        </w:rPr>
      </w:pPr>
    </w:p>
    <w:p>
      <w:pPr>
        <w:wordWrap w:val="0"/>
        <w:spacing w:line="600" w:lineRule="exact"/>
        <w:ind w:right="1291" w:rightChars="615"/>
        <w:rPr>
          <w:rFonts w:ascii="仿宋_GB2312" w:hAnsi="仿宋" w:eastAsia="仿宋_GB2312" w:cs="仿宋"/>
          <w:sz w:val="32"/>
          <w:szCs w:val="32"/>
        </w:rPr>
      </w:pPr>
    </w:p>
    <w:p>
      <w:pPr>
        <w:wordWrap w:val="0"/>
        <w:spacing w:line="600" w:lineRule="exact"/>
        <w:ind w:right="1291" w:rightChars="615"/>
        <w:rPr>
          <w:rFonts w:ascii="仿宋_GB2312" w:hAnsi="仿宋" w:eastAsia="仿宋_GB2312" w:cs="仿宋"/>
          <w:sz w:val="32"/>
          <w:szCs w:val="32"/>
        </w:rPr>
      </w:pPr>
    </w:p>
    <w:p>
      <w:pPr>
        <w:wordWrap w:val="0"/>
        <w:spacing w:line="600" w:lineRule="exact"/>
        <w:ind w:right="1291" w:rightChars="615"/>
        <w:rPr>
          <w:rFonts w:ascii="仿宋_GB2312" w:hAnsi="仿宋" w:eastAsia="仿宋_GB2312" w:cs="仿宋"/>
          <w:sz w:val="32"/>
          <w:szCs w:val="32"/>
        </w:rPr>
      </w:pPr>
    </w:p>
    <w:p>
      <w:pPr>
        <w:wordWrap w:val="0"/>
        <w:spacing w:line="600" w:lineRule="exact"/>
        <w:ind w:right="1291" w:rightChars="615"/>
        <w:rPr>
          <w:rFonts w:ascii="仿宋_GB2312" w:hAnsi="仿宋" w:eastAsia="仿宋_GB2312" w:cs="仿宋"/>
          <w:sz w:val="32"/>
          <w:szCs w:val="32"/>
        </w:rPr>
      </w:pPr>
    </w:p>
    <w:p>
      <w:pPr>
        <w:wordWrap w:val="0"/>
        <w:spacing w:line="600" w:lineRule="exact"/>
        <w:ind w:right="1291" w:rightChars="615"/>
        <w:rPr>
          <w:rFonts w:ascii="仿宋_GB2312" w:hAnsi="仿宋" w:eastAsia="仿宋_GB2312" w:cs="仿宋"/>
          <w:sz w:val="32"/>
          <w:szCs w:val="32"/>
        </w:rPr>
      </w:pPr>
    </w:p>
    <w:p>
      <w:pPr>
        <w:wordWrap w:val="0"/>
        <w:spacing w:line="600" w:lineRule="exact"/>
        <w:ind w:right="1291" w:rightChars="615"/>
        <w:rPr>
          <w:rFonts w:ascii="仿宋_GB2312" w:hAnsi="仿宋" w:eastAsia="仿宋_GB2312" w:cs="仿宋"/>
          <w:sz w:val="32"/>
          <w:szCs w:val="32"/>
        </w:rPr>
      </w:pPr>
    </w:p>
    <w:p>
      <w:pPr>
        <w:tabs>
          <w:tab w:val="left" w:pos="400"/>
        </w:tabs>
        <w:spacing w:line="600" w:lineRule="exact"/>
        <w:rPr>
          <w:rFonts w:ascii="仿宋_GB2312" w:hAnsi="仿宋" w:eastAsia="仿宋_GB2312" w:cs="仿宋"/>
          <w:sz w:val="32"/>
          <w:szCs w:val="32"/>
        </w:rPr>
      </w:pPr>
      <w:r>
        <w:rPr>
          <w:rFonts w:hint="eastAsia" w:ascii="仿宋_GB2312" w:hAnsi="仿宋" w:eastAsia="仿宋_GB2312" w:cs="仿宋"/>
          <w:sz w:val="32"/>
          <w:szCs w:val="32"/>
        </w:rPr>
        <w:t>公开方式：主动公开</w:t>
      </w:r>
    </w:p>
    <w:p>
      <w:pPr>
        <w:tabs>
          <w:tab w:val="left" w:pos="400"/>
        </w:tabs>
        <w:spacing w:line="600" w:lineRule="exact"/>
        <w:ind w:left="960" w:hanging="960" w:hangingChars="300"/>
        <w:rPr>
          <w:rFonts w:ascii="仿宋_GB2312" w:hAnsi="仿宋" w:eastAsia="仿宋_GB2312" w:cs="仿宋"/>
          <w:sz w:val="32"/>
          <w:szCs w:val="32"/>
        </w:rPr>
        <w:sectPr>
          <w:footerReference r:id="rId3" w:type="default"/>
          <w:pgSz w:w="11906" w:h="16838"/>
          <w:pgMar w:top="1814" w:right="1247" w:bottom="1247" w:left="1587" w:header="851" w:footer="992" w:gutter="0"/>
          <w:cols w:space="720" w:num="1"/>
          <w:docGrid w:type="lines" w:linePitch="313" w:charSpace="0"/>
        </w:sectPr>
      </w:pPr>
      <w:r>
        <w:rPr>
          <w:rFonts w:hint="eastAsia" w:ascii="仿宋_GB2312" w:hAnsi="仿宋" w:eastAsia="仿宋_GB2312" w:cs="仿宋"/>
          <w:sz w:val="32"/>
          <w:szCs w:val="32"/>
        </w:rPr>
        <w:t>抄送：普宁市</w:t>
      </w:r>
      <w:r>
        <w:rPr>
          <w:rFonts w:hint="eastAsia" w:ascii="仿宋_GB2312" w:hAnsi="仿宋" w:eastAsia="仿宋_GB2312" w:cs="仿宋"/>
          <w:sz w:val="32"/>
          <w:szCs w:val="32"/>
          <w:lang w:val="en-US" w:eastAsia="zh-CN"/>
        </w:rPr>
        <w:t>高品</w:t>
      </w:r>
      <w:r>
        <w:rPr>
          <w:rFonts w:hint="eastAsia" w:ascii="仿宋_GB2312" w:hAnsi="仿宋" w:eastAsia="仿宋_GB2312" w:cs="仿宋"/>
          <w:sz w:val="32"/>
          <w:szCs w:val="32"/>
        </w:rPr>
        <w:t>加油站有限公司、揭阳市</w:t>
      </w:r>
      <w:r>
        <w:rPr>
          <w:rFonts w:hint="eastAsia" w:ascii="仿宋_GB2312" w:hAnsi="仿宋" w:eastAsia="仿宋_GB2312" w:cs="仿宋"/>
          <w:sz w:val="32"/>
          <w:szCs w:val="32"/>
          <w:lang w:val="en-US" w:eastAsia="zh-CN"/>
        </w:rPr>
        <w:t>冠通</w:t>
      </w:r>
      <w:r>
        <w:rPr>
          <w:rFonts w:hint="eastAsia" w:ascii="仿宋_GB2312" w:hAnsi="仿宋" w:eastAsia="仿宋_GB2312" w:cs="仿宋"/>
          <w:sz w:val="32"/>
          <w:szCs w:val="32"/>
        </w:rPr>
        <w:t>加油站</w:t>
      </w:r>
      <w:r>
        <w:rPr>
          <w:rFonts w:hint="eastAsia" w:ascii="仿宋_GB2312" w:hAnsi="仿宋" w:eastAsia="仿宋_GB2312" w:cs="仿宋"/>
          <w:sz w:val="32"/>
          <w:szCs w:val="32"/>
          <w:lang w:val="en-US" w:eastAsia="zh-CN"/>
        </w:rPr>
        <w:t>有限公司</w:t>
      </w:r>
      <w:r>
        <w:rPr>
          <w:rFonts w:hint="eastAsia" w:ascii="仿宋_GB2312" w:hAnsi="仿宋" w:eastAsia="仿宋_GB2312" w:cs="仿宋"/>
          <w:sz w:val="32"/>
          <w:szCs w:val="32"/>
        </w:rPr>
        <w:t>。</w:t>
      </w:r>
    </w:p>
    <w:p>
      <w:pPr>
        <w:spacing w:line="600" w:lineRule="exact"/>
        <w:rPr>
          <w:rFonts w:ascii="Times New Roman" w:hAnsi="Times New Roman" w:eastAsia="方正仿宋简体"/>
          <w:sz w:val="32"/>
          <w:szCs w:val="32"/>
        </w:rPr>
      </w:pPr>
      <w:r>
        <w:rPr>
          <w:rFonts w:ascii="Times New Roman" w:hAnsi="Times New Roman" w:eastAsia="方正仿宋简体"/>
          <w:sz w:val="32"/>
          <w:szCs w:val="32"/>
        </w:rPr>
        <w:t>附件</w:t>
      </w:r>
    </w:p>
    <w:p>
      <w:pPr>
        <w:spacing w:afterLines="50"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原址</w:t>
      </w:r>
      <w:r>
        <w:rPr>
          <w:rFonts w:hint="eastAsia" w:ascii="Times New Roman" w:hAnsi="Times New Roman" w:eastAsia="方正小标宋简体"/>
          <w:sz w:val="44"/>
          <w:szCs w:val="44"/>
        </w:rPr>
        <w:t>改建、</w:t>
      </w:r>
      <w:r>
        <w:rPr>
          <w:rFonts w:ascii="Times New Roman" w:hAnsi="Times New Roman" w:eastAsia="方正小标宋简体"/>
          <w:sz w:val="44"/>
          <w:szCs w:val="44"/>
        </w:rPr>
        <w:t>扩（重）建加油站规划确认表</w:t>
      </w:r>
    </w:p>
    <w:tbl>
      <w:tblPr>
        <w:tblStyle w:val="4"/>
        <w:tblW w:w="14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992"/>
        <w:gridCol w:w="2720"/>
        <w:gridCol w:w="1213"/>
        <w:gridCol w:w="1907"/>
        <w:gridCol w:w="3192"/>
        <w:gridCol w:w="2368"/>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35" w:type="dxa"/>
            <w:noWrap/>
            <w:vAlign w:val="center"/>
          </w:tcPr>
          <w:p>
            <w:pPr>
              <w:jc w:val="center"/>
              <w:rPr>
                <w:rFonts w:ascii="黑体" w:hAnsi="黑体" w:eastAsia="黑体" w:cs="黑体"/>
                <w:b/>
                <w:bCs/>
                <w:sz w:val="24"/>
                <w:szCs w:val="24"/>
              </w:rPr>
            </w:pPr>
            <w:r>
              <w:rPr>
                <w:rFonts w:hint="eastAsia" w:ascii="黑体" w:hAnsi="黑体" w:eastAsia="黑体" w:cs="黑体"/>
                <w:b/>
                <w:bCs/>
                <w:sz w:val="24"/>
                <w:szCs w:val="24"/>
              </w:rPr>
              <w:t>序号</w:t>
            </w:r>
          </w:p>
        </w:tc>
        <w:tc>
          <w:tcPr>
            <w:tcW w:w="992" w:type="dxa"/>
            <w:noWrap/>
            <w:vAlign w:val="center"/>
          </w:tcPr>
          <w:p>
            <w:pPr>
              <w:jc w:val="center"/>
              <w:rPr>
                <w:rFonts w:ascii="黑体" w:hAnsi="黑体" w:eastAsia="黑体" w:cs="黑体"/>
                <w:b/>
                <w:bCs/>
                <w:sz w:val="24"/>
                <w:szCs w:val="24"/>
              </w:rPr>
            </w:pPr>
            <w:r>
              <w:rPr>
                <w:rFonts w:hint="eastAsia" w:ascii="黑体" w:hAnsi="黑体" w:eastAsia="黑体" w:cs="黑体"/>
                <w:b/>
                <w:bCs/>
                <w:sz w:val="24"/>
                <w:szCs w:val="24"/>
              </w:rPr>
              <w:t>县（市、区）</w:t>
            </w:r>
          </w:p>
        </w:tc>
        <w:tc>
          <w:tcPr>
            <w:tcW w:w="2720" w:type="dxa"/>
            <w:noWrap/>
            <w:vAlign w:val="center"/>
          </w:tcPr>
          <w:p>
            <w:pPr>
              <w:jc w:val="center"/>
              <w:rPr>
                <w:rFonts w:ascii="黑体" w:hAnsi="黑体" w:eastAsia="黑体" w:cs="黑体"/>
                <w:b/>
                <w:bCs/>
                <w:sz w:val="24"/>
                <w:szCs w:val="24"/>
              </w:rPr>
            </w:pPr>
            <w:r>
              <w:rPr>
                <w:rFonts w:hint="eastAsia" w:ascii="黑体" w:hAnsi="黑体" w:eastAsia="黑体" w:cs="黑体"/>
                <w:b/>
                <w:bCs/>
                <w:sz w:val="24"/>
                <w:szCs w:val="24"/>
              </w:rPr>
              <w:t>加油站名称</w:t>
            </w:r>
          </w:p>
        </w:tc>
        <w:tc>
          <w:tcPr>
            <w:tcW w:w="1213" w:type="dxa"/>
            <w:noWrap/>
            <w:vAlign w:val="center"/>
          </w:tcPr>
          <w:p>
            <w:pPr>
              <w:jc w:val="center"/>
              <w:rPr>
                <w:rFonts w:ascii="黑体" w:hAnsi="黑体" w:eastAsia="黑体" w:cs="黑体"/>
                <w:b/>
                <w:bCs/>
                <w:sz w:val="24"/>
                <w:szCs w:val="24"/>
              </w:rPr>
            </w:pPr>
            <w:r>
              <w:rPr>
                <w:rFonts w:hint="eastAsia" w:ascii="黑体" w:hAnsi="黑体" w:eastAsia="黑体" w:cs="黑体"/>
                <w:b/>
                <w:bCs/>
                <w:sz w:val="24"/>
                <w:szCs w:val="24"/>
              </w:rPr>
              <w:t>证书编号</w:t>
            </w:r>
          </w:p>
        </w:tc>
        <w:tc>
          <w:tcPr>
            <w:tcW w:w="1907" w:type="dxa"/>
            <w:noWrap/>
            <w:vAlign w:val="center"/>
          </w:tcPr>
          <w:p>
            <w:pPr>
              <w:jc w:val="center"/>
              <w:rPr>
                <w:rFonts w:ascii="黑体" w:hAnsi="黑体" w:eastAsia="黑体" w:cs="黑体"/>
                <w:b/>
                <w:bCs/>
                <w:sz w:val="24"/>
                <w:szCs w:val="24"/>
              </w:rPr>
            </w:pPr>
            <w:r>
              <w:rPr>
                <w:rFonts w:hint="eastAsia" w:ascii="黑体" w:hAnsi="黑体" w:eastAsia="黑体" w:cs="黑体"/>
                <w:b/>
                <w:bCs/>
                <w:sz w:val="24"/>
                <w:szCs w:val="24"/>
              </w:rPr>
              <w:t>所在路段</w:t>
            </w:r>
          </w:p>
        </w:tc>
        <w:tc>
          <w:tcPr>
            <w:tcW w:w="3192" w:type="dxa"/>
            <w:noWrap/>
            <w:vAlign w:val="center"/>
          </w:tcPr>
          <w:p>
            <w:pPr>
              <w:jc w:val="center"/>
              <w:rPr>
                <w:rFonts w:ascii="黑体" w:hAnsi="黑体" w:eastAsia="黑体" w:cs="黑体"/>
                <w:b/>
                <w:bCs/>
                <w:sz w:val="24"/>
                <w:szCs w:val="24"/>
              </w:rPr>
            </w:pPr>
            <w:r>
              <w:rPr>
                <w:rFonts w:hint="eastAsia" w:ascii="黑体" w:hAnsi="黑体" w:eastAsia="黑体" w:cs="黑体"/>
                <w:b/>
                <w:bCs/>
                <w:sz w:val="24"/>
                <w:szCs w:val="24"/>
              </w:rPr>
              <w:t>储油罐容量（加油枪数量）</w:t>
            </w:r>
          </w:p>
        </w:tc>
        <w:tc>
          <w:tcPr>
            <w:tcW w:w="2368" w:type="dxa"/>
            <w:noWrap/>
            <w:vAlign w:val="center"/>
          </w:tcPr>
          <w:p>
            <w:pPr>
              <w:jc w:val="both"/>
              <w:rPr>
                <w:rFonts w:ascii="黑体" w:hAnsi="黑体" w:eastAsia="黑体" w:cs="黑体"/>
                <w:b/>
                <w:bCs/>
                <w:sz w:val="24"/>
                <w:szCs w:val="24"/>
              </w:rPr>
            </w:pPr>
            <w:r>
              <w:rPr>
                <w:rFonts w:hint="eastAsia" w:ascii="黑体" w:hAnsi="黑体" w:eastAsia="黑体" w:cs="黑体"/>
                <w:b/>
                <w:bCs/>
                <w:sz w:val="24"/>
                <w:szCs w:val="24"/>
              </w:rPr>
              <w:t>成品油</w:t>
            </w:r>
            <w:r>
              <w:rPr>
                <w:rFonts w:hint="eastAsia" w:ascii="黑体" w:hAnsi="黑体" w:eastAsia="黑体" w:cs="黑体"/>
                <w:b/>
                <w:bCs/>
                <w:sz w:val="24"/>
                <w:szCs w:val="24"/>
                <w:lang w:val="en-US" w:eastAsia="zh-CN"/>
              </w:rPr>
              <w:t>分销</w:t>
            </w:r>
            <w:r>
              <w:rPr>
                <w:rFonts w:hint="eastAsia" w:ascii="黑体" w:hAnsi="黑体" w:eastAsia="黑体" w:cs="黑体"/>
                <w:b/>
                <w:bCs/>
                <w:sz w:val="24"/>
                <w:szCs w:val="24"/>
              </w:rPr>
              <w:t>体系“十</w:t>
            </w:r>
            <w:r>
              <w:rPr>
                <w:rFonts w:hint="eastAsia" w:ascii="黑体" w:hAnsi="黑体" w:eastAsia="黑体" w:cs="黑体"/>
                <w:b/>
                <w:bCs/>
                <w:sz w:val="24"/>
                <w:szCs w:val="24"/>
                <w:lang w:val="en-US" w:eastAsia="zh-CN"/>
              </w:rPr>
              <w:t>四</w:t>
            </w:r>
            <w:r>
              <w:rPr>
                <w:rFonts w:hint="eastAsia" w:ascii="黑体" w:hAnsi="黑体" w:eastAsia="黑体" w:cs="黑体"/>
                <w:b/>
                <w:bCs/>
                <w:sz w:val="24"/>
                <w:szCs w:val="24"/>
              </w:rPr>
              <w:t>五”发展规划（20</w:t>
            </w:r>
            <w:r>
              <w:rPr>
                <w:rFonts w:hint="eastAsia" w:ascii="黑体" w:hAnsi="黑体" w:eastAsia="黑体" w:cs="黑体"/>
                <w:b/>
                <w:bCs/>
                <w:sz w:val="24"/>
                <w:szCs w:val="24"/>
                <w:lang w:val="en-US" w:eastAsia="zh-CN"/>
              </w:rPr>
              <w:t>21</w:t>
            </w:r>
            <w:r>
              <w:rPr>
                <w:rFonts w:hint="eastAsia" w:ascii="黑体" w:hAnsi="黑体" w:eastAsia="黑体" w:cs="黑体"/>
                <w:b/>
                <w:bCs/>
                <w:sz w:val="24"/>
                <w:szCs w:val="24"/>
              </w:rPr>
              <w:t>-202</w:t>
            </w:r>
            <w:r>
              <w:rPr>
                <w:rFonts w:hint="eastAsia" w:ascii="黑体" w:hAnsi="黑体" w:eastAsia="黑体" w:cs="黑体"/>
                <w:b/>
                <w:bCs/>
                <w:sz w:val="24"/>
                <w:szCs w:val="24"/>
                <w:lang w:val="en-US" w:eastAsia="zh-CN"/>
              </w:rPr>
              <w:t>5</w:t>
            </w:r>
            <w:r>
              <w:rPr>
                <w:rFonts w:hint="eastAsia" w:ascii="黑体" w:hAnsi="黑体" w:eastAsia="黑体" w:cs="黑体"/>
                <w:b/>
                <w:bCs/>
                <w:sz w:val="24"/>
                <w:szCs w:val="24"/>
              </w:rPr>
              <w:t>年）序号及编码</w:t>
            </w:r>
          </w:p>
        </w:tc>
        <w:tc>
          <w:tcPr>
            <w:tcW w:w="1557" w:type="dxa"/>
            <w:noWrap/>
            <w:vAlign w:val="center"/>
          </w:tcPr>
          <w:p>
            <w:pPr>
              <w:jc w:val="center"/>
              <w:rPr>
                <w:rFonts w:ascii="黑体" w:hAnsi="黑体" w:eastAsia="黑体" w:cs="黑体"/>
                <w:b/>
                <w:bCs/>
                <w:sz w:val="24"/>
                <w:szCs w:val="24"/>
              </w:rPr>
            </w:pPr>
            <w:r>
              <w:rPr>
                <w:rFonts w:hint="eastAsia" w:ascii="黑体" w:hAnsi="黑体" w:eastAsia="黑体" w:cs="黑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blHeader/>
          <w:jc w:val="center"/>
        </w:trPr>
        <w:tc>
          <w:tcPr>
            <w:tcW w:w="535" w:type="dxa"/>
            <w:noWrap/>
            <w:vAlign w:val="center"/>
          </w:tcPr>
          <w:p>
            <w:pPr>
              <w:jc w:val="center"/>
              <w:rPr>
                <w:rFonts w:ascii="Times New Roman" w:hAnsi="Times New Roman" w:eastAsia="仿宋"/>
                <w:sz w:val="24"/>
                <w:szCs w:val="24"/>
              </w:rPr>
            </w:pPr>
            <w:r>
              <w:rPr>
                <w:rFonts w:ascii="Times New Roman" w:hAnsi="Times New Roman" w:eastAsia="仿宋"/>
                <w:sz w:val="24"/>
                <w:szCs w:val="24"/>
              </w:rPr>
              <w:t>1</w:t>
            </w:r>
          </w:p>
        </w:tc>
        <w:tc>
          <w:tcPr>
            <w:tcW w:w="992" w:type="dxa"/>
            <w:noWrap/>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普宁市</w:t>
            </w:r>
          </w:p>
        </w:tc>
        <w:tc>
          <w:tcPr>
            <w:tcW w:w="2720" w:type="dxa"/>
            <w:noWrap/>
            <w:vAlign w:val="center"/>
          </w:tcPr>
          <w:p>
            <w:pPr>
              <w:rPr>
                <w:rFonts w:ascii="仿宋_GB2312" w:hAnsi="Times New Roman" w:eastAsia="仿宋_GB2312"/>
                <w:sz w:val="24"/>
                <w:szCs w:val="24"/>
              </w:rPr>
            </w:pPr>
            <w:r>
              <w:rPr>
                <w:rFonts w:hint="eastAsia" w:ascii="仿宋_GB2312" w:hAnsi="Times New Roman" w:eastAsia="仿宋_GB2312"/>
                <w:sz w:val="24"/>
                <w:szCs w:val="24"/>
              </w:rPr>
              <w:t>普宁市</w:t>
            </w:r>
            <w:r>
              <w:rPr>
                <w:rFonts w:hint="eastAsia" w:ascii="仿宋_GB2312" w:hAnsi="Times New Roman" w:eastAsia="仿宋_GB2312"/>
                <w:sz w:val="24"/>
                <w:szCs w:val="24"/>
                <w:lang w:val="en-US" w:eastAsia="zh-CN"/>
              </w:rPr>
              <w:t>高品</w:t>
            </w:r>
            <w:r>
              <w:rPr>
                <w:rFonts w:hint="eastAsia" w:ascii="仿宋_GB2312" w:hAnsi="Times New Roman" w:eastAsia="仿宋_GB2312"/>
                <w:sz w:val="24"/>
                <w:szCs w:val="24"/>
              </w:rPr>
              <w:t>加油站有限公司</w:t>
            </w:r>
          </w:p>
        </w:tc>
        <w:tc>
          <w:tcPr>
            <w:tcW w:w="1213" w:type="dxa"/>
            <w:noWrap/>
            <w:vAlign w:val="center"/>
          </w:tcPr>
          <w:p>
            <w:pPr>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rPr>
              <w:t>44V60</w:t>
            </w:r>
            <w:r>
              <w:rPr>
                <w:rFonts w:hint="eastAsia" w:ascii="仿宋_GB2312" w:hAnsi="Times New Roman" w:eastAsia="仿宋_GB2312"/>
                <w:sz w:val="24"/>
                <w:szCs w:val="24"/>
                <w:lang w:val="en-US" w:eastAsia="zh-CN"/>
              </w:rPr>
              <w:t>232</w:t>
            </w:r>
          </w:p>
        </w:tc>
        <w:tc>
          <w:tcPr>
            <w:tcW w:w="1907" w:type="dxa"/>
            <w:noWrap/>
            <w:vAlign w:val="center"/>
          </w:tcPr>
          <w:p>
            <w:pPr>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普宁市高埔镇高柏工业区高速路口对面</w:t>
            </w:r>
          </w:p>
        </w:tc>
        <w:tc>
          <w:tcPr>
            <w:tcW w:w="3192" w:type="dxa"/>
            <w:noWrap/>
            <w:vAlign w:val="center"/>
          </w:tcPr>
          <w:p>
            <w:pPr>
              <w:jc w:val="left"/>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4</w:t>
            </w:r>
            <w:r>
              <w:rPr>
                <w:rFonts w:hint="eastAsia" w:ascii="仿宋_GB2312" w:hAnsi="Times New Roman" w:eastAsia="仿宋_GB2312"/>
                <w:sz w:val="24"/>
                <w:szCs w:val="24"/>
              </w:rPr>
              <w:t>0</w:t>
            </w:r>
            <w:r>
              <w:rPr>
                <w:rFonts w:hint="eastAsia" w:ascii="仿宋_GB2312" w:hAnsi="仿宋" w:eastAsia="仿宋_GB2312" w:cs="仿宋"/>
                <w:sz w:val="24"/>
                <w:szCs w:val="24"/>
              </w:rPr>
              <w:t>m</w:t>
            </w:r>
            <w:r>
              <w:rPr>
                <w:rFonts w:hint="eastAsia" w:ascii="仿宋_GB2312" w:hAnsi="宋体" w:cs="宋体"/>
                <w:sz w:val="24"/>
                <w:szCs w:val="24"/>
              </w:rPr>
              <w:t>³</w:t>
            </w:r>
            <w:r>
              <w:rPr>
                <w:rFonts w:hint="eastAsia" w:ascii="仿宋_GB2312" w:hAnsi="Times New Roman" w:eastAsia="仿宋_GB2312"/>
                <w:sz w:val="24"/>
                <w:szCs w:val="24"/>
              </w:rPr>
              <w:t>汽油罐</w:t>
            </w:r>
            <w:r>
              <w:rPr>
                <w:rFonts w:hint="eastAsia" w:ascii="仿宋_GB2312" w:hAnsi="Times New Roman" w:eastAsia="仿宋_GB2312"/>
                <w:sz w:val="24"/>
                <w:szCs w:val="24"/>
                <w:lang w:val="en-US" w:eastAsia="zh-CN"/>
              </w:rPr>
              <w:t>3</w:t>
            </w:r>
            <w:r>
              <w:rPr>
                <w:rFonts w:hint="eastAsia" w:ascii="仿宋_GB2312" w:hAnsi="Times New Roman" w:eastAsia="仿宋_GB2312"/>
                <w:sz w:val="24"/>
                <w:szCs w:val="24"/>
              </w:rPr>
              <w:t>个，</w:t>
            </w:r>
            <w:r>
              <w:rPr>
                <w:rFonts w:hint="eastAsia" w:ascii="仿宋_GB2312" w:hAnsi="Times New Roman" w:eastAsia="仿宋_GB2312"/>
                <w:sz w:val="24"/>
                <w:szCs w:val="24"/>
                <w:lang w:val="en-US" w:eastAsia="zh-CN"/>
              </w:rPr>
              <w:t>4</w:t>
            </w:r>
            <w:r>
              <w:rPr>
                <w:rFonts w:hint="eastAsia" w:ascii="仿宋_GB2312" w:hAnsi="Times New Roman" w:eastAsia="仿宋_GB2312"/>
                <w:sz w:val="24"/>
                <w:szCs w:val="24"/>
              </w:rPr>
              <w:t>0</w:t>
            </w:r>
            <w:r>
              <w:rPr>
                <w:rFonts w:hint="eastAsia" w:ascii="仿宋_GB2312" w:hAnsi="仿宋" w:eastAsia="仿宋_GB2312" w:cs="仿宋"/>
                <w:sz w:val="24"/>
                <w:szCs w:val="24"/>
              </w:rPr>
              <w:t>m</w:t>
            </w:r>
            <w:r>
              <w:rPr>
                <w:rFonts w:hint="eastAsia" w:ascii="仿宋_GB2312" w:hAnsi="宋体" w:cs="宋体"/>
                <w:sz w:val="24"/>
                <w:szCs w:val="24"/>
              </w:rPr>
              <w:t>³</w:t>
            </w:r>
            <w:r>
              <w:rPr>
                <w:rFonts w:hint="eastAsia" w:ascii="仿宋_GB2312" w:hAnsi="Times New Roman" w:eastAsia="仿宋_GB2312"/>
                <w:sz w:val="24"/>
                <w:szCs w:val="24"/>
              </w:rPr>
              <w:t>柴油罐</w:t>
            </w:r>
            <w:r>
              <w:rPr>
                <w:rFonts w:hint="eastAsia" w:ascii="仿宋_GB2312" w:hAnsi="Times New Roman" w:eastAsia="仿宋_GB2312"/>
                <w:sz w:val="24"/>
                <w:szCs w:val="24"/>
                <w:lang w:val="en-US" w:eastAsia="zh-CN"/>
              </w:rPr>
              <w:t>1</w:t>
            </w:r>
            <w:r>
              <w:rPr>
                <w:rFonts w:hint="eastAsia" w:ascii="仿宋_GB2312" w:hAnsi="Times New Roman" w:eastAsia="仿宋_GB2312"/>
                <w:sz w:val="24"/>
                <w:szCs w:val="24"/>
              </w:rPr>
              <w:t>个；加油机改造</w:t>
            </w:r>
            <w:r>
              <w:rPr>
                <w:rFonts w:hint="eastAsia" w:ascii="仿宋_GB2312" w:hAnsi="Times New Roman" w:eastAsia="仿宋_GB2312"/>
                <w:sz w:val="24"/>
                <w:szCs w:val="24"/>
                <w:lang w:val="en-US" w:eastAsia="zh-CN"/>
              </w:rPr>
              <w:t>为4台6</w:t>
            </w:r>
            <w:r>
              <w:rPr>
                <w:rFonts w:hint="eastAsia" w:ascii="仿宋_GB2312" w:hAnsi="Times New Roman" w:eastAsia="仿宋_GB2312"/>
                <w:sz w:val="24"/>
                <w:szCs w:val="24"/>
              </w:rPr>
              <w:t>枪加油</w:t>
            </w:r>
            <w:r>
              <w:rPr>
                <w:rFonts w:hint="eastAsia" w:ascii="仿宋_GB2312" w:hAnsi="Times New Roman" w:eastAsia="仿宋_GB2312"/>
                <w:sz w:val="24"/>
                <w:szCs w:val="24"/>
                <w:lang w:val="en-US" w:eastAsia="zh-CN"/>
              </w:rPr>
              <w:t>机，</w:t>
            </w:r>
            <w:r>
              <w:rPr>
                <w:rFonts w:hint="eastAsia" w:ascii="仿宋_GB2312" w:hAnsi="仿宋" w:eastAsia="仿宋_GB2312" w:cs="仿宋"/>
                <w:sz w:val="24"/>
                <w:szCs w:val="24"/>
              </w:rPr>
              <w:t>加油枪</w:t>
            </w:r>
            <w:r>
              <w:rPr>
                <w:rFonts w:hint="eastAsia" w:ascii="仿宋_GB2312" w:hAnsi="仿宋" w:eastAsia="仿宋_GB2312" w:cs="仿宋"/>
                <w:sz w:val="24"/>
                <w:szCs w:val="24"/>
                <w:lang w:val="en-US" w:eastAsia="zh-CN"/>
              </w:rPr>
              <w:t>24</w:t>
            </w:r>
            <w:r>
              <w:rPr>
                <w:rFonts w:hint="eastAsia" w:ascii="仿宋_GB2312" w:hAnsi="仿宋" w:eastAsia="仿宋_GB2312" w:cs="仿宋"/>
                <w:sz w:val="24"/>
                <w:szCs w:val="24"/>
              </w:rPr>
              <w:t>支</w:t>
            </w:r>
            <w:r>
              <w:rPr>
                <w:rFonts w:hint="eastAsia" w:ascii="仿宋_GB2312" w:hAnsi="仿宋" w:eastAsia="仿宋_GB2312" w:cs="仿宋"/>
                <w:sz w:val="24"/>
                <w:szCs w:val="24"/>
                <w:lang w:eastAsia="zh-CN"/>
              </w:rPr>
              <w:t>。</w:t>
            </w:r>
          </w:p>
        </w:tc>
        <w:tc>
          <w:tcPr>
            <w:tcW w:w="2368" w:type="dxa"/>
            <w:noWrap/>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附表7：序号</w:t>
            </w:r>
            <w:r>
              <w:rPr>
                <w:rFonts w:hint="eastAsia" w:ascii="仿宋_GB2312" w:hAnsi="Times New Roman" w:eastAsia="仿宋_GB2312"/>
                <w:sz w:val="24"/>
                <w:szCs w:val="24"/>
                <w:lang w:val="en-US" w:eastAsia="zh-CN"/>
              </w:rPr>
              <w:t>188</w:t>
            </w:r>
            <w:r>
              <w:rPr>
                <w:rFonts w:hint="eastAsia" w:ascii="仿宋_GB2312" w:hAnsi="Times New Roman" w:eastAsia="仿宋_GB2312"/>
                <w:sz w:val="24"/>
                <w:szCs w:val="24"/>
              </w:rPr>
              <w:t>#编码</w:t>
            </w:r>
            <w:r>
              <w:rPr>
                <w:rFonts w:hint="eastAsia" w:ascii="仿宋_GB2312" w:hAnsi="Times New Roman" w:eastAsia="仿宋_GB2312"/>
                <w:sz w:val="24"/>
                <w:szCs w:val="24"/>
                <w:lang w:val="en-US" w:eastAsia="zh-CN"/>
              </w:rPr>
              <w:t>VY50</w:t>
            </w:r>
            <w:r>
              <w:rPr>
                <w:rFonts w:hint="eastAsia" w:ascii="仿宋_GB2312" w:hAnsi="Times New Roman" w:eastAsia="仿宋_GB2312"/>
                <w:sz w:val="24"/>
                <w:szCs w:val="24"/>
              </w:rPr>
              <w:t>#</w:t>
            </w:r>
          </w:p>
        </w:tc>
        <w:tc>
          <w:tcPr>
            <w:tcW w:w="1557" w:type="dxa"/>
            <w:noWrap/>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原二级，改建后二级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blHeader/>
          <w:jc w:val="center"/>
        </w:trPr>
        <w:tc>
          <w:tcPr>
            <w:tcW w:w="535" w:type="dxa"/>
            <w:noWrap/>
            <w:vAlign w:val="center"/>
          </w:tcPr>
          <w:p>
            <w:pPr>
              <w:jc w:val="center"/>
              <w:rPr>
                <w:rFonts w:ascii="Times New Roman" w:hAnsi="Times New Roman" w:eastAsia="仿宋"/>
                <w:sz w:val="24"/>
                <w:szCs w:val="24"/>
              </w:rPr>
            </w:pPr>
            <w:r>
              <w:rPr>
                <w:rFonts w:ascii="Times New Roman" w:hAnsi="Times New Roman" w:eastAsia="仿宋"/>
                <w:sz w:val="24"/>
                <w:szCs w:val="24"/>
              </w:rPr>
              <w:t>2</w:t>
            </w:r>
          </w:p>
          <w:p>
            <w:pPr>
              <w:jc w:val="center"/>
              <w:rPr>
                <w:rFonts w:ascii="Times New Roman" w:hAnsi="Times New Roman" w:eastAsia="仿宋"/>
                <w:sz w:val="24"/>
                <w:szCs w:val="24"/>
              </w:rPr>
            </w:pPr>
          </w:p>
        </w:tc>
        <w:tc>
          <w:tcPr>
            <w:tcW w:w="992" w:type="dxa"/>
            <w:noWrap/>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lang w:val="en-US" w:eastAsia="zh-CN"/>
              </w:rPr>
              <w:t>榕城</w:t>
            </w:r>
            <w:r>
              <w:rPr>
                <w:rFonts w:hint="eastAsia" w:ascii="仿宋_GB2312" w:hAnsi="Times New Roman" w:eastAsia="仿宋_GB2312"/>
                <w:sz w:val="24"/>
                <w:szCs w:val="24"/>
              </w:rPr>
              <w:t>区</w:t>
            </w:r>
          </w:p>
        </w:tc>
        <w:tc>
          <w:tcPr>
            <w:tcW w:w="2720" w:type="dxa"/>
            <w:noWrap/>
            <w:vAlign w:val="center"/>
          </w:tcPr>
          <w:p>
            <w:pPr>
              <w:rPr>
                <w:rFonts w:ascii="仿宋_GB2312" w:hAnsi="Times New Roman" w:eastAsia="仿宋_GB2312"/>
                <w:sz w:val="24"/>
                <w:szCs w:val="24"/>
              </w:rPr>
            </w:pPr>
            <w:r>
              <w:rPr>
                <w:rFonts w:hint="eastAsia" w:ascii="仿宋_GB2312" w:hAnsi="Times New Roman" w:eastAsia="仿宋_GB2312"/>
                <w:sz w:val="24"/>
                <w:szCs w:val="24"/>
              </w:rPr>
              <w:t>揭阳市</w:t>
            </w:r>
            <w:r>
              <w:rPr>
                <w:rFonts w:hint="eastAsia" w:ascii="仿宋_GB2312" w:hAnsi="Times New Roman" w:eastAsia="仿宋_GB2312"/>
                <w:sz w:val="24"/>
                <w:szCs w:val="24"/>
                <w:lang w:val="en-US" w:eastAsia="zh-CN"/>
              </w:rPr>
              <w:t>冠通</w:t>
            </w:r>
            <w:r>
              <w:rPr>
                <w:rFonts w:hint="eastAsia" w:ascii="仿宋_GB2312" w:hAnsi="Times New Roman" w:eastAsia="仿宋_GB2312"/>
                <w:sz w:val="24"/>
                <w:szCs w:val="24"/>
              </w:rPr>
              <w:t>加油站</w:t>
            </w:r>
            <w:r>
              <w:rPr>
                <w:rFonts w:hint="eastAsia" w:ascii="仿宋_GB2312" w:hAnsi="Times New Roman" w:eastAsia="仿宋_GB2312"/>
                <w:sz w:val="24"/>
                <w:szCs w:val="24"/>
                <w:lang w:val="en-US" w:eastAsia="zh-CN"/>
              </w:rPr>
              <w:t>有限公司</w:t>
            </w:r>
          </w:p>
        </w:tc>
        <w:tc>
          <w:tcPr>
            <w:tcW w:w="1213" w:type="dxa"/>
            <w:noWrap/>
            <w:vAlign w:val="center"/>
          </w:tcPr>
          <w:p>
            <w:pPr>
              <w:jc w:val="center"/>
              <w:rPr>
                <w:rFonts w:hint="default" w:ascii="仿宋_GB2312" w:hAnsi="Times New Roman" w:eastAsia="仿宋_GB2312"/>
                <w:sz w:val="24"/>
                <w:szCs w:val="24"/>
                <w:lang w:val="en-US" w:eastAsia="zh-CN"/>
              </w:rPr>
            </w:pPr>
            <w:r>
              <w:rPr>
                <w:rFonts w:hint="eastAsia" w:ascii="仿宋_GB2312" w:hAnsi="仿宋" w:eastAsia="仿宋_GB2312" w:cs="仿宋"/>
                <w:sz w:val="24"/>
                <w:szCs w:val="24"/>
              </w:rPr>
              <w:t>44V</w:t>
            </w:r>
            <w:r>
              <w:rPr>
                <w:rFonts w:hint="eastAsia" w:ascii="仿宋_GB2312" w:hAnsi="仿宋" w:eastAsia="仿宋_GB2312" w:cs="仿宋"/>
                <w:sz w:val="24"/>
                <w:szCs w:val="24"/>
                <w:lang w:val="en-US" w:eastAsia="zh-CN"/>
              </w:rPr>
              <w:t>60229</w:t>
            </w:r>
          </w:p>
        </w:tc>
        <w:tc>
          <w:tcPr>
            <w:tcW w:w="1907" w:type="dxa"/>
            <w:noWrap/>
            <w:vAlign w:val="center"/>
          </w:tcPr>
          <w:p>
            <w:pPr>
              <w:rPr>
                <w:rFonts w:hint="eastAsia" w:ascii="仿宋_GB2312" w:hAnsi="Times New Roman" w:eastAsia="仿宋_GB2312"/>
                <w:sz w:val="24"/>
                <w:szCs w:val="24"/>
                <w:lang w:eastAsia="zh-CN"/>
              </w:rPr>
            </w:pPr>
            <w:r>
              <w:rPr>
                <w:rFonts w:hint="eastAsia" w:ascii="仿宋_GB2312" w:hAnsi="Times New Roman" w:eastAsia="仿宋_GB2312"/>
                <w:sz w:val="24"/>
                <w:szCs w:val="24"/>
              </w:rPr>
              <w:t>揭阳</w:t>
            </w:r>
            <w:r>
              <w:rPr>
                <w:rFonts w:hint="eastAsia" w:ascii="仿宋_GB2312" w:hAnsi="Times New Roman" w:eastAsia="仿宋_GB2312"/>
                <w:sz w:val="24"/>
                <w:szCs w:val="24"/>
                <w:lang w:val="en-US" w:eastAsia="zh-CN"/>
              </w:rPr>
              <w:t>潮汕</w:t>
            </w:r>
            <w:r>
              <w:rPr>
                <w:rFonts w:hint="eastAsia" w:ascii="仿宋_GB2312" w:hAnsi="Times New Roman" w:eastAsia="仿宋_GB2312"/>
                <w:sz w:val="24"/>
                <w:szCs w:val="24"/>
              </w:rPr>
              <w:t>机场路</w:t>
            </w:r>
            <w:r>
              <w:rPr>
                <w:rFonts w:hint="eastAsia" w:ascii="仿宋_GB2312" w:hAnsi="Times New Roman" w:eastAsia="仿宋_GB2312"/>
                <w:sz w:val="24"/>
                <w:szCs w:val="24"/>
                <w:lang w:val="en-US" w:eastAsia="zh-CN"/>
              </w:rPr>
              <w:t>段</w:t>
            </w:r>
          </w:p>
        </w:tc>
        <w:tc>
          <w:tcPr>
            <w:tcW w:w="3192" w:type="dxa"/>
            <w:noWrap/>
            <w:vAlign w:val="center"/>
          </w:tcPr>
          <w:p>
            <w:pPr>
              <w:jc w:val="left"/>
              <w:rPr>
                <w:rFonts w:hint="eastAsia" w:ascii="仿宋_GB2312" w:hAnsi="Times New Roman" w:eastAsia="仿宋_GB2312"/>
                <w:sz w:val="24"/>
                <w:szCs w:val="24"/>
                <w:lang w:eastAsia="zh-CN"/>
              </w:rPr>
            </w:pPr>
            <w:r>
              <w:rPr>
                <w:rFonts w:hint="eastAsia" w:ascii="仿宋_GB2312" w:hAnsi="仿宋" w:eastAsia="仿宋_GB2312" w:cs="仿宋"/>
                <w:sz w:val="24"/>
                <w:szCs w:val="24"/>
                <w:lang w:val="en-US" w:eastAsia="zh-CN"/>
              </w:rPr>
              <w:t>40</w:t>
            </w:r>
            <w:r>
              <w:rPr>
                <w:rFonts w:hint="eastAsia" w:ascii="仿宋_GB2312" w:hAnsi="仿宋" w:eastAsia="仿宋_GB2312" w:cs="仿宋"/>
                <w:sz w:val="24"/>
                <w:szCs w:val="24"/>
              </w:rPr>
              <w:t>m</w:t>
            </w:r>
            <w:r>
              <w:rPr>
                <w:rFonts w:hint="eastAsia" w:ascii="仿宋_GB2312" w:hAnsi="宋体" w:cs="宋体"/>
                <w:sz w:val="24"/>
                <w:szCs w:val="24"/>
              </w:rPr>
              <w:t>³</w:t>
            </w:r>
            <w:r>
              <w:rPr>
                <w:rFonts w:hint="eastAsia" w:ascii="仿宋_GB2312" w:hAnsi="仿宋" w:eastAsia="仿宋_GB2312" w:cs="仿宋"/>
                <w:sz w:val="24"/>
                <w:szCs w:val="24"/>
              </w:rPr>
              <w:t>汽油罐3个，</w:t>
            </w:r>
            <w:r>
              <w:rPr>
                <w:rFonts w:hint="eastAsia" w:ascii="仿宋_GB2312" w:hAnsi="仿宋" w:eastAsia="仿宋_GB2312" w:cs="仿宋"/>
                <w:sz w:val="24"/>
                <w:szCs w:val="24"/>
                <w:lang w:val="en-US" w:eastAsia="zh-CN"/>
              </w:rPr>
              <w:t>4</w:t>
            </w:r>
            <w:r>
              <w:rPr>
                <w:rFonts w:hint="eastAsia" w:ascii="仿宋_GB2312" w:hAnsi="仿宋" w:eastAsia="仿宋_GB2312" w:cs="仿宋"/>
                <w:sz w:val="24"/>
                <w:szCs w:val="24"/>
              </w:rPr>
              <w:t>0m</w:t>
            </w:r>
            <w:r>
              <w:rPr>
                <w:rFonts w:hint="eastAsia" w:ascii="仿宋_GB2312" w:hAnsi="宋体" w:cs="宋体"/>
                <w:sz w:val="24"/>
                <w:szCs w:val="24"/>
              </w:rPr>
              <w:t>³</w:t>
            </w:r>
            <w:r>
              <w:rPr>
                <w:rFonts w:hint="eastAsia" w:ascii="仿宋_GB2312" w:hAnsi="仿宋" w:eastAsia="仿宋_GB2312" w:cs="仿宋"/>
                <w:sz w:val="24"/>
                <w:szCs w:val="24"/>
              </w:rPr>
              <w:t>柴油罐1个；</w:t>
            </w:r>
            <w:r>
              <w:rPr>
                <w:rFonts w:hint="eastAsia" w:ascii="仿宋_GB2312" w:hAnsi="Times New Roman" w:eastAsia="仿宋_GB2312"/>
                <w:sz w:val="24"/>
                <w:szCs w:val="24"/>
              </w:rPr>
              <w:t>加油机改造</w:t>
            </w:r>
            <w:r>
              <w:rPr>
                <w:rFonts w:hint="eastAsia" w:ascii="仿宋_GB2312" w:hAnsi="Times New Roman" w:eastAsia="仿宋_GB2312"/>
                <w:sz w:val="24"/>
                <w:szCs w:val="24"/>
                <w:lang w:val="en-US" w:eastAsia="zh-CN"/>
              </w:rPr>
              <w:t>为6台6枪加油机，</w:t>
            </w:r>
            <w:r>
              <w:rPr>
                <w:rFonts w:hint="eastAsia" w:ascii="仿宋_GB2312" w:hAnsi="仿宋" w:eastAsia="仿宋_GB2312" w:cs="仿宋"/>
                <w:sz w:val="24"/>
                <w:szCs w:val="24"/>
              </w:rPr>
              <w:t>加油枪</w:t>
            </w:r>
            <w:r>
              <w:rPr>
                <w:rFonts w:hint="eastAsia" w:ascii="仿宋_GB2312" w:hAnsi="仿宋" w:eastAsia="仿宋_GB2312" w:cs="仿宋"/>
                <w:sz w:val="24"/>
                <w:szCs w:val="24"/>
                <w:lang w:val="en-US" w:eastAsia="zh-CN"/>
              </w:rPr>
              <w:t>3</w:t>
            </w:r>
            <w:r>
              <w:rPr>
                <w:rFonts w:hint="eastAsia" w:ascii="仿宋_GB2312" w:hAnsi="仿宋" w:eastAsia="仿宋_GB2312" w:cs="仿宋"/>
                <w:sz w:val="24"/>
                <w:szCs w:val="24"/>
              </w:rPr>
              <w:t>6支</w:t>
            </w:r>
            <w:r>
              <w:rPr>
                <w:rFonts w:hint="eastAsia" w:ascii="仿宋_GB2312" w:hAnsi="仿宋" w:eastAsia="仿宋_GB2312" w:cs="仿宋"/>
                <w:sz w:val="24"/>
                <w:szCs w:val="24"/>
                <w:lang w:eastAsia="zh-CN"/>
              </w:rPr>
              <w:t>。</w:t>
            </w:r>
          </w:p>
        </w:tc>
        <w:tc>
          <w:tcPr>
            <w:tcW w:w="2368" w:type="dxa"/>
            <w:noWrap/>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附表7：序号</w:t>
            </w:r>
            <w:r>
              <w:rPr>
                <w:rFonts w:hint="eastAsia" w:ascii="仿宋_GB2312" w:hAnsi="Times New Roman" w:eastAsia="仿宋_GB2312"/>
                <w:sz w:val="24"/>
                <w:szCs w:val="24"/>
                <w:lang w:val="en-US" w:eastAsia="zh-CN"/>
              </w:rPr>
              <w:t>186</w:t>
            </w:r>
            <w:r>
              <w:rPr>
                <w:rFonts w:hint="eastAsia" w:ascii="仿宋_GB2312" w:hAnsi="Times New Roman" w:eastAsia="仿宋_GB2312"/>
                <w:sz w:val="24"/>
                <w:szCs w:val="24"/>
              </w:rPr>
              <w:t>#编码</w:t>
            </w:r>
            <w:r>
              <w:rPr>
                <w:rFonts w:hint="eastAsia" w:ascii="仿宋_GB2312" w:hAnsi="Times New Roman" w:eastAsia="仿宋_GB2312"/>
                <w:sz w:val="24"/>
                <w:szCs w:val="24"/>
                <w:lang w:val="en-US" w:eastAsia="zh-CN"/>
              </w:rPr>
              <w:t>201</w:t>
            </w:r>
            <w:r>
              <w:rPr>
                <w:rFonts w:hint="eastAsia" w:ascii="仿宋_GB2312" w:hAnsi="Times New Roman" w:eastAsia="仿宋_GB2312"/>
                <w:sz w:val="24"/>
                <w:szCs w:val="24"/>
              </w:rPr>
              <w:t>#</w:t>
            </w:r>
          </w:p>
        </w:tc>
        <w:tc>
          <w:tcPr>
            <w:tcW w:w="1557" w:type="dxa"/>
            <w:noWrap/>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原</w:t>
            </w:r>
            <w:r>
              <w:rPr>
                <w:rFonts w:hint="eastAsia" w:ascii="仿宋_GB2312" w:hAnsi="Times New Roman" w:eastAsia="仿宋_GB2312"/>
                <w:sz w:val="24"/>
                <w:szCs w:val="24"/>
                <w:lang w:val="en-US" w:eastAsia="zh-CN"/>
              </w:rPr>
              <w:t>二</w:t>
            </w:r>
            <w:r>
              <w:rPr>
                <w:rFonts w:hint="eastAsia" w:ascii="仿宋_GB2312" w:hAnsi="Times New Roman" w:eastAsia="仿宋_GB2312"/>
                <w:sz w:val="24"/>
                <w:szCs w:val="24"/>
              </w:rPr>
              <w:t>级，改建后</w:t>
            </w:r>
            <w:r>
              <w:rPr>
                <w:rFonts w:hint="eastAsia" w:ascii="仿宋_GB2312" w:hAnsi="Times New Roman" w:eastAsia="仿宋_GB2312"/>
                <w:sz w:val="24"/>
                <w:szCs w:val="24"/>
                <w:lang w:val="en-US" w:eastAsia="zh-CN"/>
              </w:rPr>
              <w:t>二</w:t>
            </w:r>
            <w:r>
              <w:rPr>
                <w:rFonts w:hint="eastAsia" w:ascii="仿宋_GB2312" w:hAnsi="Times New Roman" w:eastAsia="仿宋_GB2312"/>
                <w:sz w:val="24"/>
                <w:szCs w:val="24"/>
              </w:rPr>
              <w:t>级</w:t>
            </w:r>
          </w:p>
        </w:tc>
      </w:tr>
    </w:tbl>
    <w:p/>
    <w:sectPr>
      <w:headerReference r:id="rId4" w:type="default"/>
      <w:footerReference r:id="rId5" w:type="default"/>
      <w:pgSz w:w="16840" w:h="11907" w:orient="landscape"/>
      <w:pgMar w:top="1247" w:right="1247" w:bottom="1588" w:left="1814" w:header="851" w:footer="992" w:gutter="0"/>
      <w:pgNumType w:start="1"/>
      <w:cols w:space="72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仿宋_GB2312"/>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2261672"/>
      <w:docPartObj>
        <w:docPartGallery w:val="autotext"/>
      </w:docPartObj>
    </w:sdtPr>
    <w:sdtEndPr>
      <w:rPr>
        <w:sz w:val="32"/>
        <w:szCs w:val="32"/>
      </w:rPr>
    </w:sdtEndPr>
    <w:sdtContent>
      <w:p>
        <w:pPr>
          <w:pStyle w:val="2"/>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2</w:t>
        </w:r>
        <w:r>
          <w:rPr>
            <w:sz w:val="32"/>
            <w:szCs w:val="32"/>
          </w:rPr>
          <w:fldChar w:fldCharType="end"/>
        </w:r>
      </w:p>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A6DA4"/>
    <w:rsid w:val="00012A84"/>
    <w:rsid w:val="00064376"/>
    <w:rsid w:val="00104B66"/>
    <w:rsid w:val="00137037"/>
    <w:rsid w:val="00142C1B"/>
    <w:rsid w:val="00160BDF"/>
    <w:rsid w:val="0016439B"/>
    <w:rsid w:val="00172A3D"/>
    <w:rsid w:val="00182A73"/>
    <w:rsid w:val="00186B88"/>
    <w:rsid w:val="0019189C"/>
    <w:rsid w:val="001C43E3"/>
    <w:rsid w:val="00206F89"/>
    <w:rsid w:val="00210968"/>
    <w:rsid w:val="00261EE9"/>
    <w:rsid w:val="002A1A08"/>
    <w:rsid w:val="002D2E6E"/>
    <w:rsid w:val="002D3DA6"/>
    <w:rsid w:val="002F4B05"/>
    <w:rsid w:val="002F6C4D"/>
    <w:rsid w:val="0034397A"/>
    <w:rsid w:val="003679A9"/>
    <w:rsid w:val="003971B7"/>
    <w:rsid w:val="003E4219"/>
    <w:rsid w:val="003E6F60"/>
    <w:rsid w:val="00424100"/>
    <w:rsid w:val="004244C3"/>
    <w:rsid w:val="004D76CD"/>
    <w:rsid w:val="004E7A63"/>
    <w:rsid w:val="00504B1B"/>
    <w:rsid w:val="005379E7"/>
    <w:rsid w:val="00553C26"/>
    <w:rsid w:val="005B1B7E"/>
    <w:rsid w:val="005C51CE"/>
    <w:rsid w:val="005C68B9"/>
    <w:rsid w:val="005E5B7A"/>
    <w:rsid w:val="005F3C36"/>
    <w:rsid w:val="005F7435"/>
    <w:rsid w:val="00601BA1"/>
    <w:rsid w:val="00615388"/>
    <w:rsid w:val="00655E05"/>
    <w:rsid w:val="006804D3"/>
    <w:rsid w:val="006A4B52"/>
    <w:rsid w:val="006A524E"/>
    <w:rsid w:val="006D5A7B"/>
    <w:rsid w:val="006E1685"/>
    <w:rsid w:val="00716747"/>
    <w:rsid w:val="00723D41"/>
    <w:rsid w:val="007303C0"/>
    <w:rsid w:val="007476BF"/>
    <w:rsid w:val="007624BF"/>
    <w:rsid w:val="007651F6"/>
    <w:rsid w:val="00770B4E"/>
    <w:rsid w:val="00775D81"/>
    <w:rsid w:val="007D77C7"/>
    <w:rsid w:val="0080544A"/>
    <w:rsid w:val="008055B8"/>
    <w:rsid w:val="0082301E"/>
    <w:rsid w:val="00847C06"/>
    <w:rsid w:val="00867D24"/>
    <w:rsid w:val="00870E03"/>
    <w:rsid w:val="008715AE"/>
    <w:rsid w:val="008B05BA"/>
    <w:rsid w:val="008C18D2"/>
    <w:rsid w:val="008E0A75"/>
    <w:rsid w:val="008E4009"/>
    <w:rsid w:val="0091275C"/>
    <w:rsid w:val="00920707"/>
    <w:rsid w:val="0093557C"/>
    <w:rsid w:val="00953E12"/>
    <w:rsid w:val="0096114D"/>
    <w:rsid w:val="009A02BC"/>
    <w:rsid w:val="009A17CF"/>
    <w:rsid w:val="009A371A"/>
    <w:rsid w:val="009C21DD"/>
    <w:rsid w:val="009C25F0"/>
    <w:rsid w:val="009D3177"/>
    <w:rsid w:val="009E7206"/>
    <w:rsid w:val="00A13AEA"/>
    <w:rsid w:val="00A33A81"/>
    <w:rsid w:val="00A424BA"/>
    <w:rsid w:val="00A82080"/>
    <w:rsid w:val="00AB1C35"/>
    <w:rsid w:val="00AD31FD"/>
    <w:rsid w:val="00AE493B"/>
    <w:rsid w:val="00AE5001"/>
    <w:rsid w:val="00AE6BD4"/>
    <w:rsid w:val="00AF79E3"/>
    <w:rsid w:val="00B020D3"/>
    <w:rsid w:val="00B15FF2"/>
    <w:rsid w:val="00B41B11"/>
    <w:rsid w:val="00B5665F"/>
    <w:rsid w:val="00B61FE0"/>
    <w:rsid w:val="00B83A16"/>
    <w:rsid w:val="00B86F00"/>
    <w:rsid w:val="00BB6D32"/>
    <w:rsid w:val="00BF303D"/>
    <w:rsid w:val="00C006DE"/>
    <w:rsid w:val="00C50877"/>
    <w:rsid w:val="00CB1AA9"/>
    <w:rsid w:val="00CF3CAD"/>
    <w:rsid w:val="00D20699"/>
    <w:rsid w:val="00D416C2"/>
    <w:rsid w:val="00D73D76"/>
    <w:rsid w:val="00D96510"/>
    <w:rsid w:val="00DA504A"/>
    <w:rsid w:val="00DF5E14"/>
    <w:rsid w:val="00E06006"/>
    <w:rsid w:val="00E10D71"/>
    <w:rsid w:val="00E34F8C"/>
    <w:rsid w:val="00E60EE6"/>
    <w:rsid w:val="00E61243"/>
    <w:rsid w:val="00E6274F"/>
    <w:rsid w:val="00E7346F"/>
    <w:rsid w:val="00E80122"/>
    <w:rsid w:val="00EA08CB"/>
    <w:rsid w:val="00ED3FB3"/>
    <w:rsid w:val="00F05092"/>
    <w:rsid w:val="00F23B28"/>
    <w:rsid w:val="00F32BBA"/>
    <w:rsid w:val="00F636AE"/>
    <w:rsid w:val="00F74D52"/>
    <w:rsid w:val="00F95214"/>
    <w:rsid w:val="00FA483C"/>
    <w:rsid w:val="00FE11C8"/>
    <w:rsid w:val="00FF3A4E"/>
    <w:rsid w:val="01454D5E"/>
    <w:rsid w:val="08477D0F"/>
    <w:rsid w:val="08F01182"/>
    <w:rsid w:val="09173695"/>
    <w:rsid w:val="12563C63"/>
    <w:rsid w:val="173E3B12"/>
    <w:rsid w:val="1E8A6DA4"/>
    <w:rsid w:val="274A0D61"/>
    <w:rsid w:val="28FC3879"/>
    <w:rsid w:val="32E81307"/>
    <w:rsid w:val="3C542F36"/>
    <w:rsid w:val="4D1D7603"/>
    <w:rsid w:val="51D34225"/>
    <w:rsid w:val="53A5002E"/>
    <w:rsid w:val="56B805AD"/>
    <w:rsid w:val="56C427E5"/>
    <w:rsid w:val="59897C72"/>
    <w:rsid w:val="59E87B32"/>
    <w:rsid w:val="5B665028"/>
    <w:rsid w:val="5B7B71FD"/>
    <w:rsid w:val="5C2809DA"/>
    <w:rsid w:val="5CBA48D0"/>
    <w:rsid w:val="5D0123CC"/>
    <w:rsid w:val="61BB7797"/>
    <w:rsid w:val="69B477C9"/>
    <w:rsid w:val="6CE9028C"/>
    <w:rsid w:val="700335EE"/>
    <w:rsid w:val="71012F72"/>
    <w:rsid w:val="73C42369"/>
    <w:rsid w:val="75CB3C05"/>
    <w:rsid w:val="7BDB36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customStyle="1" w:styleId="6">
    <w:name w:val="fontstyle01"/>
    <w:basedOn w:val="5"/>
    <w:uiPriority w:val="0"/>
    <w:rPr>
      <w:rFonts w:hint="eastAsia" w:ascii="新宋体" w:hAnsi="新宋体" w:eastAsia="新宋体"/>
      <w:color w:val="000000"/>
      <w:sz w:val="30"/>
      <w:szCs w:val="30"/>
    </w:rPr>
  </w:style>
  <w:style w:type="character" w:customStyle="1" w:styleId="7">
    <w:name w:val="页脚 Char"/>
    <w:basedOn w:val="5"/>
    <w:link w:val="2"/>
    <w:uiPriority w:val="99"/>
    <w:rPr>
      <w:rFonts w:ascii="Calibri" w:hAnsi="Calibr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CF8807-FF1A-4967-BDCC-E1B0C70B4FAC}">
  <ds:schemaRefs/>
</ds:datastoreItem>
</file>

<file path=docProps/app.xml><?xml version="1.0" encoding="utf-8"?>
<Properties xmlns="http://schemas.openxmlformats.org/officeDocument/2006/extended-properties" xmlns:vt="http://schemas.openxmlformats.org/officeDocument/2006/docPropsVTypes">
  <Template>Normal</Template>
  <Pages>3</Pages>
  <Words>147</Words>
  <Characters>838</Characters>
  <Lines>6</Lines>
  <Paragraphs>1</Paragraphs>
  <TotalTime>7</TotalTime>
  <ScaleCrop>false</ScaleCrop>
  <LinksUpToDate>false</LinksUpToDate>
  <CharactersWithSpaces>984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2021-04-21T07:23:00Z</dcterms:created>
  <dc:creator>陈励</dc:creator>
  <cp:lastModifiedBy>Administrator</cp:lastModifiedBy>
  <cp:lastPrinted>2021-04-23T08:42:00Z</cp:lastPrinted>
  <dcterms:modified xsi:type="dcterms:W3CDTF">2022-06-02T02:47:05Z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