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需申请配额或备案ODS名单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中国受控消耗臭氧层物质清单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节选）</w:t>
      </w:r>
    </w:p>
    <w:tbl>
      <w:tblPr>
        <w:tblStyle w:val="12"/>
        <w:tblW w:w="984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333"/>
        <w:gridCol w:w="1226"/>
        <w:gridCol w:w="1749"/>
        <w:gridCol w:w="858"/>
        <w:gridCol w:w="1404"/>
        <w:gridCol w:w="2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tblHeader/>
          <w:jc w:val="center"/>
        </w:trPr>
        <w:tc>
          <w:tcPr>
            <w:tcW w:w="79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4308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物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质*</w:t>
            </w:r>
          </w:p>
        </w:tc>
        <w:tc>
          <w:tcPr>
            <w:tcW w:w="858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异构体数目</w:t>
            </w:r>
          </w:p>
        </w:tc>
        <w:tc>
          <w:tcPr>
            <w:tcW w:w="1404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ODP值</w:t>
            </w:r>
          </w:p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 xml:space="preserve">**** </w:t>
            </w:r>
          </w:p>
        </w:tc>
        <w:tc>
          <w:tcPr>
            <w:tcW w:w="2476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备    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tblHeader/>
          <w:jc w:val="center"/>
        </w:trPr>
        <w:tc>
          <w:tcPr>
            <w:tcW w:w="79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代 码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化学式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化 学 名 称</w:t>
            </w:r>
          </w:p>
        </w:tc>
        <w:tc>
          <w:tcPr>
            <w:tcW w:w="858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76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第一类全氯氟烃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（又称氯氟化碳）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主要用途为制冷剂、发泡剂、清洗剂等。按《关于消耗臭氧层物质的蒙特利尔议定书》（以下简称《议定书》）规定，自2010年1月1日起，除特殊用途外，全面禁止生产和使用。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CFC-12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CFC-113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三氯三氟乙烷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0.8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CFC-114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二氯四氟乙烷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CFC-115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一氯五氟乙烷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0.6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CFC-13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CFC-111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CFC-112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CFC-211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7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七氯一氟丙烷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CFC-212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CFC-213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CFC-214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CFC-215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CFC-216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二氯六氟丙烷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CFC-217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7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一氯七氟丙烷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第二类哈龙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(哈龙-1211)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一溴一氯二氟甲烷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主要用途为灭火剂。按《议定书》规定，自2010年1月1日起，除特殊用途外，全面禁止生产和使用。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(哈龙-1301)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(哈龙-2402)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二溴四氟乙烷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第三类四氯化碳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CTC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四氯化碳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主要用途为加工助剂、清洗剂和试剂等。按《议定书》规定，自2010年1月1日起，除特殊用途外，全面禁止生产和使用。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  <w:jc w:val="center"/>
        </w:trPr>
        <w:tc>
          <w:tcPr>
            <w:tcW w:w="7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第四类甲基氯仿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**C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1,1,1-三氯乙烷(非1,1,2- 三氯乙烷)又称甲基氯仿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主要用途为清洗剂、溶剂。按《议定书》规定，自2010年1月1日起，除特殊用途外，全面禁止生产和使用。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(HCFC-21)</w:t>
            </w:r>
          </w:p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最新的调整案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(HCFC-22)</w:t>
            </w:r>
          </w:p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0.055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(HCFC-31)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(HCFC-123)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1,1-二氯-2,2,2-三氟乙烷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(HCFC-124)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一氯四氟乙烷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(HCFC-124)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CHFClCF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1-氯-1,2,2,2-四氟乙烷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0.007-0.05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0.008-0.05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0.005-0.07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(HCFC-141b)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1,1-二氯-1-氟乙烷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含氢氯氟烃加速淘汰调整案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0.008-0.07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(HCFC-142b)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1-氯-1,1-二氟乙烷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0.065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(HCFC-151)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FCl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0.003-0.005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0.015-0.07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(HCFC-224)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(HCFC-225ca)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1,1-二氯-2,2,3,3,3-五氟丙烷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(HCFC-225cb)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bookmarkStart w:id="0" w:name="RANGE!C46"/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bookmarkEnd w:id="0"/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CHClF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1,3-二氯-1,1,2,2,3-五氟丙烷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(HCFC-226)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一氯六氟丙烷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0.02-0.10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0.05-0.09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0.008-0.10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0.007-0.23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(HCFC-234)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0.01-0.28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(HCFC-235)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0.03-0.52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0.004-0.09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0.005-0.13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0.007-0.12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最新的调整案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(HCFC-244)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0.009-0.14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0.001-0.01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0.005-0.04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(HCFC-253)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0.003-0.03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(HCFC-261)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0.002-0.02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(HCFC-262)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0.002-0.02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(HCFC-271)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0.001-0.03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FC-2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2B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1)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0.3-0.8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0.5-1.8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0.4-1.6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一溴四氟乙烷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0.7-1.2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0.7-1.6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0.3-1.5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五溴二氟丙烷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0.3-1.8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0.5-2.2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0.9-2.0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一溴六氟丙烷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0.7-3.3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0.2-2.1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0.2-5.6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0.3-7.5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一溴五氟丙烷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0.9-1.4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0.08-1.9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0.1-3.1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0.1-2.5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一溴四氟丙烷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0.3-4.4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0.03-0.3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0.1-1.0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0.07-0.8</w:t>
            </w:r>
          </w:p>
        </w:tc>
        <w:tc>
          <w:tcPr>
            <w:tcW w:w="24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0.04-0.4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0.07-0.8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一溴一氟丙烷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0.02-0.7</w:t>
            </w:r>
          </w:p>
        </w:tc>
        <w:tc>
          <w:tcPr>
            <w:tcW w:w="24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第七类溴氯甲烷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BrCl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溴氯甲烷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794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第八类甲基溴</w:t>
            </w:r>
          </w:p>
        </w:tc>
        <w:tc>
          <w:tcPr>
            <w:tcW w:w="13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4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一溴甲烷</w:t>
            </w:r>
          </w:p>
        </w:tc>
        <w:tc>
          <w:tcPr>
            <w:tcW w:w="85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0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0.6</w:t>
            </w:r>
          </w:p>
        </w:tc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主要用途为杀虫剂、土壤熏蒸剂等。按《议定书》规定，应在2015年前实现除特殊用途外所有甲基溴的生产和使用淘汰。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* 受控物质是指《议定书》附件A、附件B、附件C、附件E 或附件F 所载单独存在的或存在于混合物之内的物质。除非特别在有关附件中指明，它应包括任何这</w:t>
      </w:r>
    </w:p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类物质的异构体，但不包括制成品内所含此种受控物质或混合物，而包括运输或储存该物质的容器中的此种物质或混合物。</w:t>
      </w:r>
    </w:p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** 本分子式并不指1,1,2-三氯乙烷。</w:t>
      </w:r>
    </w:p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*** 指明最大规模生产的物质，并为《议定书》的目的列出其ODP。</w:t>
      </w:r>
    </w:p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**** 这些ODP 是根据现有知识的估计数，将对其进行定期审查和修改。在列出ODP 的区间时，为《议定书》的目的应使用该区间的最高值。作为单一数值列出的</w:t>
      </w:r>
    </w:p>
    <w:p>
      <w:pPr>
        <w:widowControl/>
        <w:jc w:val="left"/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ODP 是根据实验室的测量计算得出的。作为区间列出的ODP 是根据估算得出的，较不确定。区间值涉及一个同质异构群的ODP，其最高值是具有最大ODP 的异构体</w:t>
      </w:r>
    </w:p>
    <w:p>
      <w:pPr>
        <w:widowControl/>
        <w:jc w:val="left"/>
      </w:pPr>
      <w:r>
        <w:rPr>
          <w:rFonts w:hint="default" w:ascii="Times New Roman" w:hAnsi="Times New Roman" w:eastAsia="楷体_GB2312" w:cs="Times New Roman"/>
          <w:color w:val="000000"/>
          <w:kern w:val="0"/>
          <w:sz w:val="24"/>
          <w:lang w:val="en-US" w:eastAsia="zh-CN"/>
        </w:rPr>
        <w:t>的ODP 估计数，最低值是具有最小ODP 的异构体的ODP 估计数。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8" w:header="851" w:footer="1587" w:gutter="0"/>
      <w:cols w:space="720" w:num="1"/>
      <w:titlePg/>
      <w:docGrid w:type="linesAndChars" w:linePitch="554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tandard Symbols PS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IMzMV&#10;0QAAAAMBAAAPAAAAAAAAAAEAIAAAACIAAABkcnMvZG93bnJldi54bWxQSwECFAAUAAAACACHTuJA&#10;zXngXu8BAAC0AwAADgAAAAAAAAABACAAAAAgAQAAZHJzL2Uyb0RvYy54bWxQSwUGAAAAAAYABgBZ&#10;AQAAg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val="en-US"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4979035</wp:posOffset>
              </wp:positionH>
              <wp:positionV relativeFrom="paragraph">
                <wp:posOffset>-17780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2.05pt;margin-top:-1.4pt;height:18.15pt;width:49.05pt;mso-position-horizontal-relative:margin;mso-wrap-style:none;z-index:251658240;mso-width-relative:page;mso-height-relative:page;" filled="f" stroked="f" coordsize="21600,21600" o:gfxdata="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2C&#10;L5jWAAAACQEAAA8AAAAAAAAAAQAgAAAAIgAAAGRycy9kb3ducmV2LnhtbFBLAQIUABQAAAAIAIdO&#10;4kBFpjSZ7AEAALQDAAAOAAAAAAAAAAEAIAAAACUBAABkcnMvZTJvRG9jLnhtbFBLBQYAAAAABgAG&#10;AFkBAACD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21"/>
        <w:szCs w:val="21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4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ideographDigital"/>
      <w:pStyle w:val="3"/>
      <w:lvlText w:val="（%1）"/>
      <w:lvlJc w:val="left"/>
      <w:pPr>
        <w:tabs>
          <w:tab w:val="left" w:pos="930"/>
        </w:tabs>
        <w:ind w:left="93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A0"/>
    <w:rsid w:val="0006395C"/>
    <w:rsid w:val="005360A0"/>
    <w:rsid w:val="00B623E9"/>
    <w:rsid w:val="00C604EE"/>
    <w:rsid w:val="458D7D6A"/>
    <w:rsid w:val="4C911F52"/>
    <w:rsid w:val="6CF57EA8"/>
    <w:rsid w:val="71BF9D7B"/>
    <w:rsid w:val="7C842602"/>
    <w:rsid w:val="97D78F0F"/>
    <w:rsid w:val="D3FA8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paragraph" w:styleId="3">
    <w:name w:val="heading 2"/>
    <w:next w:val="1"/>
    <w:link w:val="16"/>
    <w:qFormat/>
    <w:uiPriority w:val="0"/>
    <w:pPr>
      <w:keepNext/>
      <w:keepLines/>
      <w:numPr>
        <w:ilvl w:val="0"/>
        <w:numId w:val="2"/>
      </w:numPr>
      <w:ind w:left="0" w:firstLine="0"/>
      <w:outlineLvl w:val="1"/>
    </w:pPr>
    <w:rPr>
      <w:rFonts w:ascii="Arial" w:hAnsi="Arial" w:eastAsia="楷体_GB2312" w:cs="Times New Roman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numPr>
        <w:ilvl w:val="0"/>
        <w:numId w:val="3"/>
      </w:numPr>
      <w:outlineLvl w:val="2"/>
    </w:pPr>
    <w:rPr>
      <w:b/>
      <w:bCs/>
      <w:sz w:val="30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1"/>
    <w:qFormat/>
    <w:uiPriority w:val="0"/>
    <w:rPr>
      <w:rFonts w:eastAsia="方正姚体"/>
      <w:b/>
      <w:color w:val="FF0000"/>
      <w:sz w:val="84"/>
    </w:rPr>
  </w:style>
  <w:style w:type="paragraph" w:styleId="6">
    <w:name w:val="Body Text Indent"/>
    <w:basedOn w:val="1"/>
    <w:link w:val="20"/>
    <w:qFormat/>
    <w:uiPriority w:val="0"/>
    <w:pPr>
      <w:ind w:firstLine="632" w:firstLineChars="200"/>
    </w:p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character" w:customStyle="1" w:styleId="13">
    <w:name w:val="页眉 字符"/>
    <w:basedOn w:val="10"/>
    <w:link w:val="9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8"/>
    <w:qFormat/>
    <w:uiPriority w:val="99"/>
    <w:rPr>
      <w:sz w:val="18"/>
      <w:szCs w:val="18"/>
    </w:rPr>
  </w:style>
  <w:style w:type="character" w:customStyle="1" w:styleId="15">
    <w:name w:val="标题 1 字符"/>
    <w:basedOn w:val="10"/>
    <w:link w:val="2"/>
    <w:qFormat/>
    <w:uiPriority w:val="0"/>
    <w:rPr>
      <w:rFonts w:ascii="Times New Roman" w:hAnsi="Times New Roman" w:eastAsia="黑体" w:cs="Times New Roman"/>
      <w:bCs/>
      <w:kern w:val="44"/>
      <w:sz w:val="30"/>
      <w:szCs w:val="44"/>
    </w:rPr>
  </w:style>
  <w:style w:type="character" w:customStyle="1" w:styleId="16">
    <w:name w:val="标题 2 字符"/>
    <w:basedOn w:val="10"/>
    <w:link w:val="3"/>
    <w:qFormat/>
    <w:uiPriority w:val="0"/>
    <w:rPr>
      <w:rFonts w:ascii="Arial" w:hAnsi="Arial" w:eastAsia="楷体_GB2312" w:cs="Times New Roman"/>
      <w:b/>
      <w:bCs/>
      <w:sz w:val="32"/>
      <w:szCs w:val="32"/>
    </w:rPr>
  </w:style>
  <w:style w:type="character" w:customStyle="1" w:styleId="17">
    <w:name w:val="标题 3 字符"/>
    <w:basedOn w:val="10"/>
    <w:link w:val="4"/>
    <w:qFormat/>
    <w:uiPriority w:val="0"/>
    <w:rPr>
      <w:rFonts w:ascii="Times New Roman" w:hAnsi="Times New Roman" w:eastAsia="仿宋_GB2312" w:cs="Times New Roman"/>
      <w:b/>
      <w:bCs/>
      <w:sz w:val="30"/>
      <w:szCs w:val="32"/>
    </w:rPr>
  </w:style>
  <w:style w:type="character" w:customStyle="1" w:styleId="18">
    <w:name w:val="批注框文本 字符"/>
    <w:link w:val="7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批注框文本 字符1"/>
    <w:basedOn w:val="10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正文文本缩进 字符"/>
    <w:basedOn w:val="10"/>
    <w:link w:val="6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21">
    <w:name w:val="正文文本 字符"/>
    <w:basedOn w:val="10"/>
    <w:link w:val="5"/>
    <w:qFormat/>
    <w:uiPriority w:val="0"/>
    <w:rPr>
      <w:rFonts w:ascii="Times New Roman" w:hAnsi="Times New Roman" w:eastAsia="方正姚体" w:cs="Times New Roman"/>
      <w:b/>
      <w:color w:val="FF0000"/>
      <w:sz w:val="84"/>
      <w:szCs w:val="24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4050</Characters>
  <Lines>33</Lines>
  <Paragraphs>9</Paragraphs>
  <TotalTime>3</TotalTime>
  <ScaleCrop>false</ScaleCrop>
  <LinksUpToDate>false</LinksUpToDate>
  <CharactersWithSpaces>4751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2020-12-16T02:18:00Z</dcterms:created>
  <dc:creator>lin Yiming</dc:creator>
  <cp:lastModifiedBy>王耿明</cp:lastModifiedBy>
  <dcterms:modified xsi:type="dcterms:W3CDTF">2021-12-09T07:09:37Z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